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A1E7F">
      <w:pPr>
        <w:rPr>
          <w:rFonts w:ascii="仿宋" w:hAnsi="仿宋" w:eastAsia="仿宋" w:cs="仿宋"/>
          <w:sz w:val="32"/>
          <w:szCs w:val="32"/>
          <w:highlight w:val="none"/>
        </w:rPr>
      </w:pPr>
      <w:r>
        <w:rPr>
          <w:rFonts w:hint="eastAsia" w:ascii="仿宋" w:hAnsi="仿宋" w:eastAsia="仿宋" w:cs="仿宋"/>
          <w:sz w:val="32"/>
          <w:szCs w:val="32"/>
          <w:highlight w:val="none"/>
        </w:rPr>
        <w:t>采购项目名称：</w:t>
      </w:r>
      <w:r>
        <w:rPr>
          <w:rFonts w:hint="eastAsia" w:ascii="仿宋" w:hAnsi="仿宋" w:eastAsia="仿宋" w:cs="仿宋"/>
          <w:b/>
          <w:sz w:val="32"/>
          <w:szCs w:val="21"/>
          <w:highlight w:val="none"/>
        </w:rPr>
        <w:t>核磁共振维保项目</w:t>
      </w:r>
    </w:p>
    <w:p w14:paraId="11C0B76B">
      <w:pPr>
        <w:rPr>
          <w:rFonts w:ascii="仿宋" w:hAnsi="仿宋" w:eastAsia="仿宋" w:cs="仿宋"/>
          <w:b/>
          <w:bCs/>
          <w:sz w:val="32"/>
          <w:szCs w:val="32"/>
          <w:highlight w:val="none"/>
        </w:rPr>
      </w:pPr>
      <w:r>
        <w:rPr>
          <w:rFonts w:hint="eastAsia" w:ascii="仿宋" w:hAnsi="仿宋" w:eastAsia="仿宋" w:cs="仿宋"/>
          <w:sz w:val="32"/>
          <w:szCs w:val="32"/>
          <w:highlight w:val="none"/>
        </w:rPr>
        <w:t>采购项目编号：</w:t>
      </w:r>
      <w:r>
        <w:rPr>
          <w:rFonts w:hint="eastAsia" w:ascii="仿宋" w:hAnsi="仿宋" w:eastAsia="仿宋" w:cs="仿宋"/>
          <w:b/>
          <w:bCs/>
          <w:sz w:val="32"/>
          <w:szCs w:val="32"/>
          <w:highlight w:val="none"/>
        </w:rPr>
        <w:t>SXJTZB-ZC-CS20250616</w:t>
      </w:r>
    </w:p>
    <w:p w14:paraId="29495013">
      <w:pPr>
        <w:rPr>
          <w:rFonts w:ascii="仿宋" w:hAnsi="仿宋" w:eastAsia="仿宋" w:cs="仿宋"/>
          <w:b/>
          <w:bCs/>
          <w:sz w:val="32"/>
          <w:szCs w:val="32"/>
          <w:highlight w:val="none"/>
        </w:rPr>
      </w:pPr>
    </w:p>
    <w:p w14:paraId="7C91B853">
      <w:pPr>
        <w:rPr>
          <w:rFonts w:ascii="仿宋" w:hAnsi="仿宋" w:eastAsia="仿宋" w:cs="仿宋"/>
          <w:b/>
          <w:bCs/>
          <w:sz w:val="32"/>
          <w:szCs w:val="32"/>
          <w:highlight w:val="none"/>
        </w:rPr>
      </w:pPr>
    </w:p>
    <w:p w14:paraId="7D5936AB">
      <w:pPr>
        <w:rPr>
          <w:rFonts w:ascii="仿宋" w:hAnsi="仿宋" w:eastAsia="仿宋" w:cs="仿宋"/>
          <w:b/>
          <w:bCs/>
          <w:sz w:val="32"/>
          <w:szCs w:val="32"/>
          <w:highlight w:val="none"/>
        </w:rPr>
      </w:pPr>
    </w:p>
    <w:p w14:paraId="62933B53">
      <w:pPr>
        <w:rPr>
          <w:rFonts w:ascii="仿宋" w:hAnsi="仿宋" w:eastAsia="仿宋" w:cs="仿宋"/>
          <w:b/>
          <w:bCs/>
          <w:sz w:val="32"/>
          <w:szCs w:val="32"/>
          <w:highlight w:val="none"/>
        </w:rPr>
      </w:pPr>
    </w:p>
    <w:p w14:paraId="4557CD12">
      <w:pPr>
        <w:rPr>
          <w:rFonts w:ascii="仿宋" w:hAnsi="仿宋" w:eastAsia="仿宋" w:cs="仿宋"/>
          <w:b/>
          <w:bCs/>
          <w:sz w:val="32"/>
          <w:szCs w:val="32"/>
          <w:highlight w:val="none"/>
        </w:rPr>
      </w:pPr>
    </w:p>
    <w:p w14:paraId="208A69AD">
      <w:pPr>
        <w:pStyle w:val="2"/>
        <w:rPr>
          <w:highlight w:val="none"/>
        </w:rPr>
      </w:pPr>
    </w:p>
    <w:p w14:paraId="54631749">
      <w:pPr>
        <w:spacing w:line="480" w:lineRule="auto"/>
        <w:jc w:val="center"/>
        <w:rPr>
          <w:rFonts w:ascii="仿宋" w:hAnsi="仿宋" w:eastAsia="仿宋" w:cs="仿宋"/>
          <w:b/>
          <w:sz w:val="52"/>
          <w:szCs w:val="52"/>
          <w:highlight w:val="none"/>
        </w:rPr>
      </w:pPr>
      <w:r>
        <w:rPr>
          <w:rFonts w:hint="eastAsia" w:ascii="仿宋" w:hAnsi="仿宋" w:eastAsia="仿宋" w:cs="仿宋"/>
          <w:b/>
          <w:sz w:val="52"/>
          <w:szCs w:val="52"/>
          <w:highlight w:val="none"/>
        </w:rPr>
        <w:t>陕西省交通医院</w:t>
      </w:r>
    </w:p>
    <w:p w14:paraId="78812D00">
      <w:pPr>
        <w:spacing w:line="480" w:lineRule="auto"/>
        <w:jc w:val="center"/>
        <w:rPr>
          <w:rFonts w:ascii="仿宋" w:hAnsi="仿宋" w:eastAsia="仿宋" w:cs="仿宋"/>
          <w:b/>
          <w:sz w:val="52"/>
          <w:szCs w:val="52"/>
          <w:highlight w:val="none"/>
        </w:rPr>
      </w:pPr>
      <w:r>
        <w:rPr>
          <w:rFonts w:hint="eastAsia" w:ascii="仿宋" w:hAnsi="仿宋" w:eastAsia="仿宋" w:cs="仿宋"/>
          <w:b/>
          <w:sz w:val="52"/>
          <w:szCs w:val="52"/>
          <w:highlight w:val="none"/>
        </w:rPr>
        <w:t>核磁共振维保项目</w:t>
      </w:r>
    </w:p>
    <w:p w14:paraId="0EA83EE8">
      <w:pPr>
        <w:spacing w:line="480" w:lineRule="auto"/>
        <w:jc w:val="center"/>
        <w:rPr>
          <w:rFonts w:ascii="仿宋" w:hAnsi="仿宋" w:eastAsia="仿宋" w:cs="仿宋"/>
          <w:b/>
          <w:sz w:val="52"/>
          <w:szCs w:val="52"/>
          <w:highlight w:val="none"/>
        </w:rPr>
      </w:pPr>
      <w:r>
        <w:rPr>
          <w:rFonts w:hint="eastAsia" w:ascii="仿宋" w:hAnsi="仿宋" w:eastAsia="仿宋" w:cs="仿宋"/>
          <w:b/>
          <w:sz w:val="52"/>
          <w:szCs w:val="52"/>
          <w:highlight w:val="none"/>
        </w:rPr>
        <w:t>采 购 合 同</w:t>
      </w:r>
    </w:p>
    <w:p w14:paraId="6781FEF4">
      <w:pPr>
        <w:jc w:val="center"/>
        <w:rPr>
          <w:rFonts w:ascii="仿宋" w:hAnsi="仿宋" w:eastAsia="仿宋" w:cs="仿宋"/>
          <w:sz w:val="30"/>
          <w:szCs w:val="30"/>
          <w:highlight w:val="none"/>
        </w:rPr>
      </w:pPr>
    </w:p>
    <w:p w14:paraId="011ECB15">
      <w:pPr>
        <w:jc w:val="center"/>
        <w:rPr>
          <w:rFonts w:ascii="仿宋" w:hAnsi="仿宋" w:eastAsia="仿宋" w:cs="仿宋"/>
          <w:sz w:val="30"/>
          <w:szCs w:val="30"/>
          <w:highlight w:val="none"/>
        </w:rPr>
      </w:pPr>
    </w:p>
    <w:p w14:paraId="1561A273">
      <w:pPr>
        <w:jc w:val="center"/>
        <w:rPr>
          <w:rFonts w:ascii="仿宋" w:hAnsi="仿宋" w:eastAsia="仿宋" w:cs="仿宋"/>
          <w:sz w:val="30"/>
          <w:szCs w:val="30"/>
          <w:highlight w:val="none"/>
        </w:rPr>
      </w:pPr>
    </w:p>
    <w:p w14:paraId="5DA1C3A2">
      <w:pPr>
        <w:jc w:val="center"/>
        <w:rPr>
          <w:rFonts w:ascii="仿宋" w:hAnsi="仿宋" w:eastAsia="仿宋" w:cs="仿宋"/>
          <w:sz w:val="30"/>
          <w:szCs w:val="30"/>
          <w:highlight w:val="none"/>
        </w:rPr>
      </w:pPr>
    </w:p>
    <w:p w14:paraId="6B07C44B">
      <w:pPr>
        <w:jc w:val="both"/>
        <w:rPr>
          <w:rFonts w:ascii="仿宋" w:hAnsi="仿宋" w:eastAsia="仿宋" w:cs="仿宋"/>
          <w:sz w:val="30"/>
          <w:szCs w:val="30"/>
          <w:highlight w:val="none"/>
        </w:rPr>
      </w:pPr>
      <w:bookmarkStart w:id="0" w:name="_GoBack"/>
      <w:bookmarkEnd w:id="0"/>
    </w:p>
    <w:p w14:paraId="240260D1">
      <w:pPr>
        <w:jc w:val="center"/>
        <w:rPr>
          <w:rFonts w:ascii="仿宋" w:hAnsi="仿宋" w:eastAsia="仿宋" w:cs="仿宋"/>
          <w:sz w:val="30"/>
          <w:szCs w:val="30"/>
          <w:highlight w:val="none"/>
        </w:rPr>
      </w:pPr>
    </w:p>
    <w:p w14:paraId="0A48F73D">
      <w:pPr>
        <w:ind w:firstLine="1600" w:firstLineChars="500"/>
        <w:jc w:val="left"/>
        <w:rPr>
          <w:rFonts w:ascii="仿宋" w:hAnsi="仿宋" w:eastAsia="仿宋" w:cs="仿宋"/>
          <w:sz w:val="32"/>
          <w:szCs w:val="32"/>
          <w:highlight w:val="none"/>
        </w:rPr>
      </w:pPr>
      <w:r>
        <w:rPr>
          <w:rFonts w:hint="eastAsia" w:ascii="仿宋" w:hAnsi="仿宋" w:eastAsia="仿宋" w:cs="仿宋"/>
          <w:sz w:val="32"/>
          <w:szCs w:val="32"/>
          <w:highlight w:val="none"/>
        </w:rPr>
        <w:t>甲  方：陕西省交通医院</w:t>
      </w:r>
    </w:p>
    <w:p w14:paraId="2C419350">
      <w:pPr>
        <w:ind w:firstLine="1600" w:firstLineChars="500"/>
        <w:jc w:val="left"/>
        <w:rPr>
          <w:rFonts w:ascii="仿宋" w:hAnsi="仿宋" w:eastAsia="仿宋" w:cs="仿宋"/>
          <w:sz w:val="32"/>
          <w:szCs w:val="32"/>
          <w:highlight w:val="none"/>
        </w:rPr>
      </w:pPr>
      <w:r>
        <w:rPr>
          <w:rFonts w:hint="eastAsia" w:ascii="仿宋" w:hAnsi="仿宋" w:eastAsia="仿宋" w:cs="仿宋"/>
          <w:sz w:val="32"/>
          <w:szCs w:val="32"/>
          <w:highlight w:val="none"/>
        </w:rPr>
        <w:t xml:space="preserve">乙  方：   </w:t>
      </w:r>
    </w:p>
    <w:p w14:paraId="708C5D7C">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2025年   月</w:t>
      </w:r>
    </w:p>
    <w:p w14:paraId="6ABD27B8">
      <w:pP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p>
    <w:p w14:paraId="1988826C">
      <w:pPr>
        <w:pStyle w:val="2"/>
        <w:rPr>
          <w:highlight w:val="none"/>
        </w:rPr>
      </w:pPr>
    </w:p>
    <w:p w14:paraId="75A9BEDE">
      <w:pPr>
        <w:jc w:val="center"/>
        <w:rPr>
          <w:rFonts w:ascii="仿宋" w:hAnsi="仿宋" w:eastAsia="仿宋" w:cs="仿宋"/>
          <w:b/>
          <w:sz w:val="36"/>
          <w:szCs w:val="36"/>
          <w:highlight w:val="none"/>
        </w:rPr>
      </w:pPr>
      <w:r>
        <w:rPr>
          <w:rFonts w:hint="eastAsia" w:ascii="仿宋" w:hAnsi="仿宋" w:eastAsia="仿宋" w:cs="仿宋"/>
          <w:b/>
          <w:sz w:val="36"/>
          <w:szCs w:val="36"/>
          <w:highlight w:val="none"/>
        </w:rPr>
        <w:t>采购合同</w:t>
      </w:r>
    </w:p>
    <w:p w14:paraId="0C0C429D">
      <w:pPr>
        <w:jc w:val="center"/>
        <w:rPr>
          <w:rFonts w:ascii="仿宋" w:hAnsi="仿宋" w:eastAsia="仿宋" w:cs="仿宋"/>
          <w:b/>
          <w:sz w:val="36"/>
          <w:szCs w:val="36"/>
          <w:highlight w:val="none"/>
        </w:rPr>
      </w:pPr>
    </w:p>
    <w:p w14:paraId="4D642D2B">
      <w:pPr>
        <w:tabs>
          <w:tab w:val="left" w:pos="480"/>
        </w:tabs>
        <w:spacing w:line="560" w:lineRule="exact"/>
        <w:rPr>
          <w:rFonts w:ascii="仿宋" w:hAnsi="仿宋" w:eastAsia="仿宋" w:cs="仿宋"/>
          <w:sz w:val="24"/>
          <w:szCs w:val="24"/>
          <w:highlight w:val="none"/>
        </w:rPr>
      </w:pPr>
      <w:r>
        <w:rPr>
          <w:rFonts w:hint="eastAsia" w:ascii="仿宋" w:hAnsi="仿宋" w:eastAsia="仿宋" w:cs="仿宋"/>
          <w:sz w:val="24"/>
          <w:szCs w:val="24"/>
          <w:highlight w:val="none"/>
        </w:rPr>
        <w:t>甲方：陕西省交通医院</w:t>
      </w:r>
    </w:p>
    <w:p w14:paraId="1725A3F0">
      <w:pPr>
        <w:tabs>
          <w:tab w:val="left" w:pos="480"/>
        </w:tabs>
        <w:spacing w:line="560" w:lineRule="exact"/>
        <w:rPr>
          <w:rFonts w:ascii="仿宋" w:hAnsi="仿宋" w:eastAsia="仿宋" w:cs="仿宋"/>
          <w:sz w:val="24"/>
          <w:szCs w:val="24"/>
          <w:highlight w:val="none"/>
        </w:rPr>
      </w:pPr>
      <w:r>
        <w:rPr>
          <w:rFonts w:hint="eastAsia" w:ascii="仿宋" w:hAnsi="仿宋" w:eastAsia="仿宋" w:cs="仿宋"/>
          <w:sz w:val="24"/>
          <w:szCs w:val="24"/>
          <w:highlight w:val="none"/>
        </w:rPr>
        <w:t>住所地：西安市大学南路276号</w:t>
      </w:r>
    </w:p>
    <w:p w14:paraId="4AEAE64A">
      <w:pPr>
        <w:tabs>
          <w:tab w:val="left" w:pos="480"/>
        </w:tabs>
        <w:spacing w:line="560" w:lineRule="exact"/>
        <w:rPr>
          <w:rFonts w:ascii="仿宋" w:hAnsi="仿宋" w:eastAsia="仿宋" w:cs="仿宋"/>
          <w:sz w:val="24"/>
          <w:szCs w:val="24"/>
          <w:highlight w:val="none"/>
        </w:rPr>
      </w:pPr>
      <w:r>
        <w:rPr>
          <w:rFonts w:hint="eastAsia" w:ascii="仿宋" w:hAnsi="仿宋" w:eastAsia="仿宋" w:cs="仿宋"/>
          <w:sz w:val="24"/>
          <w:szCs w:val="24"/>
          <w:highlight w:val="none"/>
        </w:rPr>
        <w:t>乙方：</w:t>
      </w:r>
    </w:p>
    <w:p w14:paraId="3091707D">
      <w:pPr>
        <w:tabs>
          <w:tab w:val="left" w:pos="480"/>
        </w:tabs>
        <w:spacing w:line="560" w:lineRule="exact"/>
        <w:rPr>
          <w:rFonts w:ascii="仿宋" w:hAnsi="仿宋" w:eastAsia="仿宋" w:cs="仿宋"/>
          <w:sz w:val="24"/>
          <w:szCs w:val="24"/>
          <w:highlight w:val="none"/>
        </w:rPr>
      </w:pPr>
      <w:r>
        <w:rPr>
          <w:rFonts w:hint="eastAsia" w:ascii="仿宋" w:hAnsi="仿宋" w:eastAsia="仿宋" w:cs="仿宋"/>
          <w:sz w:val="24"/>
          <w:szCs w:val="24"/>
          <w:highlight w:val="none"/>
        </w:rPr>
        <w:t>住所地：</w:t>
      </w:r>
    </w:p>
    <w:p w14:paraId="336409E7">
      <w:pPr>
        <w:tabs>
          <w:tab w:val="left" w:pos="480"/>
        </w:tabs>
        <w:spacing w:line="56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就甲方医院核磁共振维保项目，经陕西嘉唐建设项目管理有限公司按照采购程序组织公开招标，确定乙方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为中标供应商。</w:t>
      </w:r>
      <w:r>
        <w:rPr>
          <w:rFonts w:hint="eastAsia" w:ascii="仿宋" w:hAnsi="仿宋" w:eastAsia="仿宋" w:cs="仿宋"/>
          <w:sz w:val="24"/>
          <w:highlight w:val="none"/>
        </w:rPr>
        <w:t>依据《中华人民共和国民法典》和《中华人民共和国政府采购法》及实施条例等相关法规和规章，经甲、乙双方共同协商，按下述条款和条件签署本合同。</w:t>
      </w:r>
    </w:p>
    <w:p w14:paraId="1FDCB6B1">
      <w:pPr>
        <w:spacing w:line="360" w:lineRule="auto"/>
        <w:rPr>
          <w:rFonts w:ascii="仿宋" w:hAnsi="仿宋" w:eastAsia="仿宋" w:cs="仿宋"/>
          <w:b/>
          <w:sz w:val="24"/>
          <w:highlight w:val="none"/>
        </w:rPr>
      </w:pPr>
      <w:r>
        <w:rPr>
          <w:rFonts w:hint="eastAsia" w:ascii="仿宋" w:hAnsi="仿宋" w:eastAsia="仿宋" w:cs="仿宋"/>
          <w:b/>
          <w:sz w:val="24"/>
          <w:highlight w:val="none"/>
        </w:rPr>
        <w:t>一、采购内容</w:t>
      </w:r>
    </w:p>
    <w:p w14:paraId="71595A9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核磁共振摄像系统维保服务，‌定期专业保养‌，每年进行4次全面维护，包括设备外观检查、性能测试、影像质量校准、系统检测及除尘保养等。</w:t>
      </w:r>
    </w:p>
    <w:p w14:paraId="0BF67A0E">
      <w:pPr>
        <w:spacing w:line="360" w:lineRule="auto"/>
        <w:rPr>
          <w:rFonts w:ascii="仿宋" w:hAnsi="仿宋" w:eastAsia="仿宋" w:cs="仿宋"/>
          <w:b/>
          <w:sz w:val="24"/>
          <w:highlight w:val="none"/>
        </w:rPr>
      </w:pPr>
      <w:r>
        <w:rPr>
          <w:rFonts w:hint="eastAsia" w:ascii="仿宋" w:hAnsi="仿宋" w:eastAsia="仿宋" w:cs="仿宋"/>
          <w:b/>
          <w:sz w:val="24"/>
          <w:highlight w:val="none"/>
        </w:rPr>
        <w:t>二、服务要求</w:t>
      </w:r>
    </w:p>
    <w:p w14:paraId="09B51AF8">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1.服务对象：PHILIPS Prodiva1.5T；</w:t>
      </w:r>
    </w:p>
    <w:p w14:paraId="03D85232">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2.全保服务，包含不限时不限次人工服务费（包含人工费、交通差旅费、上门费等）、所有故障备件更换费用（包括不限于磁体、冷头、线圈及水冷机、精密空调、高压注射器等第三方产品）、预防性保养服务、质控服务；</w:t>
      </w:r>
    </w:p>
    <w:p w14:paraId="1CD60130">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3.提供通过互联网连接在线远程应用支持；</w:t>
      </w:r>
    </w:p>
    <w:p w14:paraId="58F84AAE">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4.提供软件版本升级服务；</w:t>
      </w:r>
    </w:p>
    <w:p w14:paraId="4855D08C">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5.提供专用服务电话，365×24小时客户响应；</w:t>
      </w:r>
    </w:p>
    <w:p w14:paraId="1F2E74CF">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6.服务响应时间≤0.5小时；</w:t>
      </w:r>
    </w:p>
    <w:p w14:paraId="5443FCE5">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7.工程师到达维修现场时间≤4小时，排除故障时限≤【 】小时；</w:t>
      </w:r>
    </w:p>
    <w:p w14:paraId="4F49B2E9">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8.具有零备件仓库，所更换备件为原厂全新合格备件，能满足设备各项使用性能指标，确保可及时供应维修更换备件；</w:t>
      </w:r>
    </w:p>
    <w:p w14:paraId="596166B1">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9.设备开机率（365天计算）≥95%，全年停机不超过18天，单次不超过3天；每超1天，保修顺延3天。</w:t>
      </w:r>
    </w:p>
    <w:p w14:paraId="08AD6A2C">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10.根据采购人要求的时间段每年提供维护保养服务次数≥4次；</w:t>
      </w:r>
    </w:p>
    <w:p w14:paraId="7FCED39A">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11.维保内容包括但不限于设备清洁、性能测试（技术、安全）、质控校准、电气环境检测及软件升级等，根据采购人要求对设备的数据进行备份，供应商的保养服务需做好记录；</w:t>
      </w:r>
    </w:p>
    <w:p w14:paraId="3C98AEEF">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12.</w:t>
      </w:r>
      <w:r>
        <w:rPr>
          <w:rFonts w:hint="eastAsia" w:ascii="仿宋" w:hAnsi="仿宋" w:eastAsia="仿宋" w:cs="仿宋"/>
          <w:bCs/>
          <w:sz w:val="24"/>
          <w:highlight w:val="none"/>
        </w:rPr>
        <w:tab/>
      </w:r>
      <w:r>
        <w:rPr>
          <w:rFonts w:hint="eastAsia" w:ascii="仿宋" w:hAnsi="仿宋" w:eastAsia="仿宋" w:cs="仿宋"/>
          <w:bCs/>
          <w:sz w:val="24"/>
          <w:highlight w:val="none"/>
        </w:rPr>
        <w:t>根据采购人要求的时间段每年提供巡检服务次数≥4次；</w:t>
      </w:r>
    </w:p>
    <w:p w14:paraId="487BE78E">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13.</w:t>
      </w:r>
      <w:r>
        <w:rPr>
          <w:rFonts w:hint="eastAsia" w:ascii="仿宋" w:hAnsi="仿宋" w:eastAsia="仿宋" w:cs="仿宋"/>
          <w:bCs/>
          <w:sz w:val="24"/>
          <w:highlight w:val="none"/>
        </w:rPr>
        <w:tab/>
      </w:r>
      <w:r>
        <w:rPr>
          <w:rFonts w:hint="eastAsia" w:ascii="仿宋" w:hAnsi="仿宋" w:eastAsia="仿宋" w:cs="仿宋"/>
          <w:bCs/>
          <w:sz w:val="24"/>
          <w:highlight w:val="none"/>
        </w:rPr>
        <w:t>提供液氦的正常消耗补充，且维保服务到期后保证液氦的剩余量不低于总（容）量的90%；</w:t>
      </w:r>
    </w:p>
    <w:p w14:paraId="546F1F88">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14.</w:t>
      </w:r>
      <w:r>
        <w:rPr>
          <w:rFonts w:hint="eastAsia" w:ascii="仿宋" w:hAnsi="仿宋" w:eastAsia="仿宋" w:cs="仿宋"/>
          <w:bCs/>
          <w:sz w:val="24"/>
          <w:highlight w:val="none"/>
        </w:rPr>
        <w:tab/>
      </w:r>
      <w:r>
        <w:rPr>
          <w:rFonts w:hint="eastAsia" w:ascii="仿宋" w:hAnsi="仿宋" w:eastAsia="仿宋" w:cs="仿宋"/>
          <w:bCs/>
          <w:sz w:val="24"/>
          <w:highlight w:val="none"/>
        </w:rPr>
        <w:t>具有磁共振设备专业维修保养工具，提供维护保养的专业工具的介绍及照片；</w:t>
      </w:r>
    </w:p>
    <w:p w14:paraId="4619824B">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15.</w:t>
      </w:r>
      <w:r>
        <w:rPr>
          <w:rFonts w:hint="eastAsia" w:ascii="仿宋" w:hAnsi="仿宋" w:eastAsia="仿宋" w:cs="仿宋"/>
          <w:bCs/>
          <w:sz w:val="24"/>
          <w:highlight w:val="none"/>
        </w:rPr>
        <w:tab/>
      </w:r>
      <w:r>
        <w:rPr>
          <w:rFonts w:hint="eastAsia" w:ascii="仿宋" w:hAnsi="仿宋" w:eastAsia="仿宋" w:cs="仿宋"/>
          <w:bCs/>
          <w:sz w:val="24"/>
          <w:highlight w:val="none"/>
        </w:rPr>
        <w:t>服务期内，若因维修或保养引发设备其他故障，乙方须负责故障排查与修复并承担全部费用；</w:t>
      </w:r>
    </w:p>
    <w:p w14:paraId="5BA84193">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16.一年维修保养期满，给甲方提供全面维修保养总结报告，并装订成册。</w:t>
      </w:r>
    </w:p>
    <w:p w14:paraId="60E8856F">
      <w:pPr>
        <w:spacing w:line="360" w:lineRule="auto"/>
        <w:rPr>
          <w:rFonts w:ascii="仿宋" w:hAnsi="仿宋" w:eastAsia="仿宋" w:cs="仿宋"/>
          <w:bCs/>
          <w:sz w:val="24"/>
          <w:highlight w:val="none"/>
        </w:rPr>
      </w:pPr>
      <w:r>
        <w:rPr>
          <w:rFonts w:hint="eastAsia" w:ascii="仿宋" w:hAnsi="仿宋" w:eastAsia="仿宋" w:cs="仿宋"/>
          <w:b/>
          <w:sz w:val="24"/>
          <w:highlight w:val="none"/>
        </w:rPr>
        <w:t>三、合同价格</w:t>
      </w:r>
    </w:p>
    <w:p w14:paraId="5353D5C7">
      <w:pPr>
        <w:widowControl/>
        <w:kinsoku w:val="0"/>
        <w:autoSpaceDE w:val="0"/>
        <w:autoSpaceDN w:val="0"/>
        <w:adjustRightInd w:val="0"/>
        <w:snapToGrid w:val="0"/>
        <w:spacing w:line="360" w:lineRule="auto"/>
        <w:ind w:firstLine="480" w:firstLineChars="200"/>
        <w:textAlignment w:val="baseline"/>
        <w:rPr>
          <w:rFonts w:ascii="仿宋" w:hAnsi="仿宋" w:eastAsia="仿宋" w:cs="仿宋"/>
          <w:sz w:val="24"/>
          <w:highlight w:val="none"/>
        </w:rPr>
      </w:pPr>
      <w:r>
        <w:rPr>
          <w:rFonts w:hint="eastAsia" w:ascii="仿宋" w:hAnsi="仿宋" w:eastAsia="仿宋" w:cs="仿宋"/>
          <w:sz w:val="24"/>
          <w:highlight w:val="none"/>
        </w:rPr>
        <w:t>合同总价：</w:t>
      </w:r>
      <w:r>
        <w:rPr>
          <w:rFonts w:hint="eastAsia" w:ascii="仿宋" w:hAnsi="仿宋" w:eastAsia="仿宋" w:cs="仿宋"/>
          <w:sz w:val="24"/>
          <w:highlight w:val="none"/>
          <w:u w:val="single"/>
        </w:rPr>
        <w:t xml:space="preserve">人民币       元整（¥         元） </w:t>
      </w:r>
      <w:r>
        <w:rPr>
          <w:rFonts w:hint="eastAsia" w:ascii="仿宋" w:hAnsi="仿宋" w:eastAsia="仿宋" w:cs="仿宋"/>
          <w:sz w:val="24"/>
          <w:highlight w:val="none"/>
        </w:rPr>
        <w:t>。</w:t>
      </w:r>
    </w:p>
    <w:p w14:paraId="523D270E">
      <w:pPr>
        <w:spacing w:line="360" w:lineRule="auto"/>
        <w:ind w:left="420" w:leftChars="200"/>
        <w:rPr>
          <w:rFonts w:ascii="仿宋" w:hAnsi="仿宋" w:eastAsia="仿宋" w:cs="仿宋"/>
          <w:sz w:val="24"/>
          <w:highlight w:val="none"/>
        </w:rPr>
      </w:pPr>
      <w:r>
        <w:rPr>
          <w:rFonts w:hint="eastAsia" w:ascii="仿宋" w:hAnsi="仿宋" w:eastAsia="仿宋" w:cs="仿宋"/>
          <w:sz w:val="24"/>
          <w:highlight w:val="none"/>
        </w:rPr>
        <w:t>说明：合同总价一次包死，不受市场价格变化的影响，并作为结算的唯一依据。合同总价包括但不限于</w:t>
      </w:r>
      <w:r>
        <w:rPr>
          <w:rFonts w:hint="eastAsia" w:ascii="仿宋" w:hAnsi="仿宋" w:eastAsia="仿宋" w:cs="仿宋"/>
          <w:bCs/>
          <w:sz w:val="24"/>
          <w:highlight w:val="none"/>
        </w:rPr>
        <w:t>人工服务费（包含人工费、交通差旅费、上门费等）、所有故障备件更换费用（包括不限于磁体、冷头、线圈及水冷机、精密空调、高压注射器等第三方产品）、预防性保养服务、质控服务以及本合同履行所涉及的一切费用，合同履行期内，甲方无需再向乙方支付其他任何费用。</w:t>
      </w:r>
    </w:p>
    <w:p w14:paraId="0F103648">
      <w:pPr>
        <w:spacing w:line="360" w:lineRule="auto"/>
        <w:rPr>
          <w:rFonts w:ascii="仿宋" w:hAnsi="仿宋" w:eastAsia="仿宋" w:cs="仿宋"/>
          <w:b/>
          <w:sz w:val="24"/>
          <w:highlight w:val="none"/>
        </w:rPr>
      </w:pPr>
      <w:r>
        <w:rPr>
          <w:rFonts w:hint="eastAsia" w:ascii="仿宋" w:hAnsi="仿宋" w:eastAsia="仿宋" w:cs="仿宋"/>
          <w:b/>
          <w:sz w:val="24"/>
          <w:highlight w:val="none"/>
        </w:rPr>
        <w:t>四、合同款项支付</w:t>
      </w:r>
    </w:p>
    <w:p w14:paraId="7BFF14B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1、结算单位：甲方结算，在甲方付款前，乙方必须开具等额合规增值税发票，因乙方延迟开具发票的，甲方有权延期支付款项且不承担任何责任，同时并不因此免除乙方的任意合同义务。</w:t>
      </w:r>
    </w:p>
    <w:p w14:paraId="03CB736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2、付款方式：</w:t>
      </w:r>
    </w:p>
    <w:p w14:paraId="2F17CB4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（一）本合同签订之日起【5】日内，乙方应按合同总价的5%，即人民币   元整（大写：    ），向甲方支付履约保证金。若乙方未按该期限足额支付履约保证金的，视为乙方根本违约，甲方有权单方解除本合同。合同解除后乙方应按合同总价的【 】%向甲方支付违约金，违约金不足以赔偿甲方损失的，由乙方另行承担。服务期满无任何质量问题，履约保证金一次性无息退还乙方。</w:t>
      </w:r>
    </w:p>
    <w:p w14:paraId="3EDE42D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（二）本合同签订且收到乙方支付的5%履约保证金，以及收到乙方开具的等额、合规发票后，达到付款条件起10日内，甲方向乙方支付合同总金额的50.00%，即人民币  元整（大写：    ）。</w:t>
      </w:r>
    </w:p>
    <w:p w14:paraId="5326FB9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（三）待2</w:t>
      </w:r>
      <w:r>
        <w:rPr>
          <w:rFonts w:ascii="仿宋" w:hAnsi="仿宋" w:eastAsia="仿宋" w:cs="仿宋"/>
          <w:sz w:val="24"/>
          <w:highlight w:val="none"/>
        </w:rPr>
        <w:t>02</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年1</w:t>
      </w:r>
      <w:r>
        <w:rPr>
          <w:rFonts w:ascii="仿宋" w:hAnsi="仿宋" w:eastAsia="仿宋" w:cs="仿宋"/>
          <w:sz w:val="24"/>
          <w:highlight w:val="none"/>
        </w:rPr>
        <w:t>2</w:t>
      </w:r>
      <w:r>
        <w:rPr>
          <w:rFonts w:hint="eastAsia" w:ascii="仿宋" w:hAnsi="仿宋" w:eastAsia="仿宋" w:cs="仿宋"/>
          <w:sz w:val="24"/>
          <w:highlight w:val="none"/>
        </w:rPr>
        <w:t>月，甲方组织对乙方已经提供服务的情况进行验收考核，考核完毕，且收到乙方开具的等额、合规发票后，达到付款条件起10日内，甲方向乙方支付合同总金额的50.00%，即人民币  元整（大写：    ）。</w:t>
      </w:r>
    </w:p>
    <w:p w14:paraId="198ED0A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（四）付款方式：银行转帐</w:t>
      </w:r>
    </w:p>
    <w:p w14:paraId="16E7A017">
      <w:pPr>
        <w:tabs>
          <w:tab w:val="left" w:pos="480"/>
        </w:tabs>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乙方确认以下信息为收款信息：</w:t>
      </w:r>
    </w:p>
    <w:p w14:paraId="4EF54AC7">
      <w:pPr>
        <w:tabs>
          <w:tab w:val="left" w:pos="480"/>
        </w:tabs>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开户名：</w:t>
      </w:r>
    </w:p>
    <w:p w14:paraId="33428584">
      <w:pPr>
        <w:tabs>
          <w:tab w:val="left" w:pos="480"/>
        </w:tabs>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开户行：</w:t>
      </w:r>
    </w:p>
    <w:p w14:paraId="1A08EEE6">
      <w:pPr>
        <w:spacing w:line="360" w:lineRule="auto"/>
        <w:ind w:firstLine="480" w:firstLineChars="200"/>
        <w:rPr>
          <w:rFonts w:ascii="仿宋" w:hAnsi="仿宋" w:eastAsia="仿宋" w:cs="仿宋"/>
          <w:sz w:val="24"/>
          <w:highlight w:val="none"/>
        </w:rPr>
      </w:pPr>
      <w:r>
        <w:rPr>
          <w:rFonts w:hint="eastAsia" w:ascii="仿宋_GB2312" w:hAnsi="仿宋_GB2312" w:eastAsia="仿宋_GB2312" w:cs="仿宋_GB2312"/>
          <w:sz w:val="24"/>
          <w:szCs w:val="24"/>
          <w:highlight w:val="none"/>
        </w:rPr>
        <w:t>银行账号：</w:t>
      </w:r>
    </w:p>
    <w:p w14:paraId="63C1AE24">
      <w:pPr>
        <w:spacing w:line="360" w:lineRule="auto"/>
        <w:rPr>
          <w:rFonts w:ascii="仿宋" w:hAnsi="仿宋" w:eastAsia="仿宋" w:cs="仿宋"/>
          <w:b/>
          <w:sz w:val="24"/>
          <w:highlight w:val="none"/>
        </w:rPr>
      </w:pPr>
      <w:r>
        <w:rPr>
          <w:rFonts w:hint="eastAsia" w:ascii="仿宋" w:hAnsi="仿宋" w:eastAsia="仿宋" w:cs="仿宋"/>
          <w:b/>
          <w:sz w:val="24"/>
          <w:highlight w:val="none"/>
        </w:rPr>
        <w:t>五、交付条件</w:t>
      </w:r>
    </w:p>
    <w:p w14:paraId="18428AF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（一）项目实施地点：</w:t>
      </w:r>
      <w:r>
        <w:rPr>
          <w:rFonts w:hint="eastAsia" w:ascii="仿宋" w:hAnsi="仿宋" w:eastAsia="仿宋" w:cs="仿宋"/>
          <w:sz w:val="24"/>
          <w:szCs w:val="24"/>
          <w:highlight w:val="none"/>
        </w:rPr>
        <w:t>陕西省交通医院指定地点</w:t>
      </w:r>
      <w:r>
        <w:rPr>
          <w:rFonts w:hint="eastAsia" w:ascii="仿宋" w:hAnsi="仿宋" w:eastAsia="仿宋" w:cs="仿宋"/>
          <w:sz w:val="24"/>
          <w:highlight w:val="none"/>
        </w:rPr>
        <w:t>。</w:t>
      </w:r>
    </w:p>
    <w:p w14:paraId="4BD947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（二）服务期限：</w:t>
      </w:r>
      <w:r>
        <w:rPr>
          <w:rFonts w:hint="eastAsia" w:ascii="仿宋" w:hAnsi="仿宋" w:eastAsia="仿宋" w:cs="仿宋"/>
          <w:sz w:val="24"/>
          <w:szCs w:val="24"/>
          <w:highlight w:val="none"/>
        </w:rPr>
        <w:t>1年，</w:t>
      </w:r>
      <w:r>
        <w:rPr>
          <w:rFonts w:hint="eastAsia" w:ascii="仿宋_GB2312" w:hAnsi="宋体" w:eastAsia="仿宋_GB2312" w:cs="宋体"/>
          <w:sz w:val="24"/>
          <w:szCs w:val="24"/>
          <w:highlight w:val="none"/>
        </w:rPr>
        <w:t>自【 】年【 】月【 】日至【 】年【 】月【 】日</w:t>
      </w:r>
      <w:r>
        <w:rPr>
          <w:rFonts w:hint="eastAsia" w:ascii="仿宋" w:hAnsi="仿宋" w:eastAsia="仿宋" w:cs="仿宋"/>
          <w:sz w:val="24"/>
          <w:szCs w:val="24"/>
          <w:highlight w:val="none"/>
        </w:rPr>
        <w:t>。</w:t>
      </w:r>
    </w:p>
    <w:p w14:paraId="6986743D">
      <w:pPr>
        <w:spacing w:line="360" w:lineRule="auto"/>
        <w:rPr>
          <w:rFonts w:ascii="仿宋" w:hAnsi="仿宋" w:eastAsia="仿宋" w:cs="仿宋"/>
          <w:b/>
          <w:sz w:val="24"/>
          <w:highlight w:val="none"/>
        </w:rPr>
      </w:pPr>
      <w:r>
        <w:rPr>
          <w:rFonts w:hint="eastAsia" w:ascii="仿宋" w:hAnsi="仿宋" w:eastAsia="仿宋" w:cs="仿宋"/>
          <w:b/>
          <w:sz w:val="24"/>
          <w:highlight w:val="none"/>
        </w:rPr>
        <w:t>六、甲方的权利义务</w:t>
      </w:r>
    </w:p>
    <w:p w14:paraId="662637CD">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1、甲方协助乙方安排合理充分的停机维保时间和维保现场的安全警示。</w:t>
      </w:r>
    </w:p>
    <w:p w14:paraId="6337A609">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2、甲方应当按照本合同约定向乙方支付维保费用。</w:t>
      </w:r>
    </w:p>
    <w:p w14:paraId="68E99D0E">
      <w:pPr>
        <w:spacing w:line="360" w:lineRule="auto"/>
        <w:ind w:left="482" w:hanging="482" w:hangingChars="200"/>
        <w:rPr>
          <w:rFonts w:ascii="仿宋" w:hAnsi="仿宋" w:eastAsia="仿宋" w:cs="仿宋"/>
          <w:b/>
          <w:sz w:val="24"/>
          <w:highlight w:val="none"/>
        </w:rPr>
      </w:pPr>
      <w:r>
        <w:rPr>
          <w:rFonts w:hint="eastAsia" w:ascii="仿宋" w:hAnsi="仿宋" w:eastAsia="仿宋" w:cs="仿宋"/>
          <w:b/>
          <w:sz w:val="24"/>
          <w:highlight w:val="none"/>
        </w:rPr>
        <w:t>七、乙方的权利义务</w:t>
      </w:r>
    </w:p>
    <w:p w14:paraId="653B109A">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1、乙方必须严格按照合同要求对设备进行定期保养、技术服务等工作，乙方必须派有专业技术的维保人员，以保持设备良好运行，延长设备的使用寿命。</w:t>
      </w:r>
    </w:p>
    <w:p w14:paraId="25F8E114">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 xml:space="preserve"> 2、乙方应当加强与甲方的协调、联络与后台，经常征求甲方的意见。乙方必须严格执行安全操作规程，防火、防意外及环境保护规定的有关工作要求。</w:t>
      </w:r>
    </w:p>
    <w:p w14:paraId="57DF7CC7">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 xml:space="preserve"> 3、设备发生故障时，应按照本合同第二条约定的时限响应并排除故障严格执行。</w:t>
      </w:r>
    </w:p>
    <w:p w14:paraId="33C2C732">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 xml:space="preserve"> 4、甲方支付的维保费用中已包含安全措施费，乙方在维保期间，如发生事故致使维保工人或第三人人身或财产受到损害的，由乙方承担全部责任，甲方不承担任何责任，甲方因此遭遇索赔的，有权向乙方追偿。</w:t>
      </w:r>
    </w:p>
    <w:p w14:paraId="52608807">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 xml:space="preserve"> 5、经乙方维保后的设备，如因维保行为而发生的所有事故（包括但不限于安全事故、医疗纠纷）均由乙方承担全部赔偿责任，乙方赔偿责任包括但不限于甲方及受害人因此造成的所有经济损失。</w:t>
      </w:r>
    </w:p>
    <w:p w14:paraId="5C4F5D97">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6、乙方负责维保的工作人员应严格遵守甲方单位有关规章制度。</w:t>
      </w:r>
    </w:p>
    <w:p w14:paraId="6BC65D05">
      <w:pPr>
        <w:spacing w:line="360" w:lineRule="auto"/>
        <w:ind w:left="480" w:hanging="480" w:hangingChars="200"/>
        <w:rPr>
          <w:rFonts w:ascii="仿宋" w:hAnsi="仿宋" w:eastAsia="仿宋" w:cs="仿宋"/>
          <w:bCs/>
          <w:sz w:val="24"/>
          <w:highlight w:val="none"/>
        </w:rPr>
      </w:pPr>
      <w:r>
        <w:rPr>
          <w:rFonts w:hint="eastAsia" w:ascii="仿宋" w:hAnsi="仿宋" w:eastAsia="仿宋" w:cs="仿宋"/>
          <w:bCs/>
          <w:sz w:val="24"/>
          <w:highlight w:val="none"/>
        </w:rPr>
        <w:t>7、乙方按照本合同约定履行合同义务，保证设备能够正常使用；乙方所更换零配件必须是原厂正品零配件，必须为未启封全新包装与原型号一致的零配件，安装完毕后达到设备运行标准；乙方还应保证提供给甲方的所有零配件非他人所有或共有，未设有抵质押权、租赁权及任何司法查封、冻结情形，未侵犯他人的任何知识产权；如因此出现任何侵权情形，则由乙方承担全部责任，与甲方无关，并应支付因此给甲方造成的一切损失。</w:t>
      </w:r>
    </w:p>
    <w:p w14:paraId="33EB69A0">
      <w:pPr>
        <w:spacing w:line="360" w:lineRule="auto"/>
        <w:rPr>
          <w:rFonts w:ascii="仿宋" w:hAnsi="仿宋" w:eastAsia="仿宋" w:cs="仿宋"/>
          <w:b/>
          <w:sz w:val="24"/>
          <w:highlight w:val="none"/>
        </w:rPr>
      </w:pPr>
      <w:r>
        <w:rPr>
          <w:rFonts w:hint="eastAsia" w:ascii="仿宋" w:hAnsi="仿宋" w:eastAsia="仿宋" w:cs="仿宋"/>
          <w:b/>
          <w:sz w:val="24"/>
          <w:highlight w:val="none"/>
        </w:rPr>
        <w:t>八、质量保证</w:t>
      </w:r>
    </w:p>
    <w:p w14:paraId="693FECA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（一）乙方提供给甲方的服务必须是设计科学、技术成熟的。</w:t>
      </w:r>
    </w:p>
    <w:p w14:paraId="5467829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（二）设计技术专利、外形专利、应用软件专利等均应符合我国有关法律及行业标准，凡因以上问题与第三方发生的任何纠纷均与甲方无关。</w:t>
      </w:r>
    </w:p>
    <w:p w14:paraId="220A8BB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（三）安全可靠。在正常使用下不应对操作者造成任何人身伤害，如因服务质量或标示不明确而对操作者造成损失的，甲方将保留依法索赔的权利。</w:t>
      </w:r>
    </w:p>
    <w:p w14:paraId="099FAF2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（四）服务内容必须与其标示的技术指标项符合，甲方有权在有效服务期内依据技术指标对该产品进行技术验收，其主要的技术参数达不到标准时，甲方有权依据有关法律索赔。</w:t>
      </w:r>
    </w:p>
    <w:p w14:paraId="4E0FF8D6">
      <w:pPr>
        <w:spacing w:line="360" w:lineRule="auto"/>
        <w:rPr>
          <w:rFonts w:ascii="仿宋" w:hAnsi="仿宋" w:eastAsia="仿宋" w:cs="仿宋"/>
          <w:b/>
          <w:sz w:val="24"/>
          <w:highlight w:val="none"/>
        </w:rPr>
      </w:pPr>
      <w:r>
        <w:rPr>
          <w:rFonts w:hint="eastAsia" w:ascii="仿宋" w:hAnsi="仿宋" w:eastAsia="仿宋" w:cs="仿宋"/>
          <w:b/>
          <w:sz w:val="24"/>
          <w:highlight w:val="none"/>
        </w:rPr>
        <w:t>九、违约责任</w:t>
      </w:r>
    </w:p>
    <w:p w14:paraId="55C9F90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（一）按《中华人民共和国民法典》中的相关条款执行。</w:t>
      </w:r>
    </w:p>
    <w:p w14:paraId="4062EF09">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highlight w:val="none"/>
        </w:rPr>
        <w:t>（二）</w:t>
      </w:r>
      <w:r>
        <w:rPr>
          <w:rFonts w:hint="eastAsia" w:ascii="仿宋" w:hAnsi="仿宋" w:eastAsia="仿宋" w:cs="仿宋"/>
          <w:sz w:val="24"/>
          <w:szCs w:val="24"/>
          <w:highlight w:val="none"/>
        </w:rPr>
        <w:t>乙方未按合同服务要求提供服务，或提供的服务不能满足本合同、招标文件、投标文件等相关文件技术要求的，视为乙方根本违约，甲方有权解除本合同，乙方应赔偿解除合同给甲方造成的全部损失（包括但不限于重新采购产生的费用），并按照合同总价的【 】%支付违约金。同时甲方有权按《政府采购法》有关处罚条款报监管机构对乙方进行相应的处罚。</w:t>
      </w:r>
    </w:p>
    <w:p w14:paraId="2E790B48">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（三）乙方应严格按照合同约定的响应时间以及到达维修现场的时间为甲方提供服务，乙方未按照合同约定响应时间超过【 】小时、到达现场维修时间超过【 】小时的，甲方有权委托第三方进行维修，所产生的费用由乙方承担，甲方有权从年度维保费用中直接扣除。</w:t>
      </w:r>
    </w:p>
    <w:p w14:paraId="74B288EB">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（四）乙方未按照合同约定超过响应时间、到达现场维修时间为甲方提供服务超过【 】次的，视为乙方根本违约，甲方有权单方解除本合同，合同解除后乙方应按照合同总价的【 】%向甲方支付违约金，若违约金不足以弥补甲方全部损失（包括但不限于重新采购产生的费用），由乙方另行承担。</w:t>
      </w:r>
    </w:p>
    <w:p w14:paraId="003B8F51">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（五）在合同期限内，未经甲方同意，乙方不得转包、分包本合同项下的合同义务，否则甲方有权依据本条第（二）款之约定单方解除本合同并有权要求乙方承担违约责任。</w:t>
      </w:r>
    </w:p>
    <w:p w14:paraId="07F5D84B">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（六）乙方违约时，甲方为主张权利而支出的律师费、保全费、保全保险费、差旅费等费用由乙方承担。</w:t>
      </w:r>
    </w:p>
    <w:p w14:paraId="7D775BC2">
      <w:pPr>
        <w:spacing w:line="360" w:lineRule="auto"/>
        <w:rPr>
          <w:rFonts w:ascii="仿宋" w:hAnsi="仿宋" w:eastAsia="仿宋" w:cs="仿宋"/>
          <w:b/>
          <w:sz w:val="24"/>
          <w:highlight w:val="none"/>
        </w:rPr>
      </w:pPr>
      <w:r>
        <w:rPr>
          <w:rFonts w:hint="eastAsia" w:ascii="仿宋" w:hAnsi="仿宋" w:eastAsia="仿宋" w:cs="仿宋"/>
          <w:b/>
          <w:sz w:val="24"/>
          <w:highlight w:val="none"/>
        </w:rPr>
        <w:t>十、验收</w:t>
      </w:r>
    </w:p>
    <w:p w14:paraId="670817A1">
      <w:pPr>
        <w:spacing w:line="360" w:lineRule="auto"/>
        <w:ind w:firstLine="480" w:firstLineChars="200"/>
        <w:rPr>
          <w:rFonts w:ascii="仿宋" w:hAnsi="仿宋" w:eastAsia="仿宋" w:cs="仿宋"/>
          <w:sz w:val="24"/>
          <w:highlight w:val="none"/>
        </w:rPr>
      </w:pPr>
      <w:r>
        <w:rPr>
          <w:rFonts w:hint="eastAsia" w:ascii="仿宋" w:hAnsi="仿宋" w:eastAsia="仿宋" w:cs="仿宋"/>
          <w:bCs/>
          <w:sz w:val="24"/>
          <w:highlight w:val="none"/>
        </w:rPr>
        <w:t>1、</w:t>
      </w:r>
      <w:r>
        <w:rPr>
          <w:rFonts w:hint="eastAsia" w:ascii="仿宋" w:hAnsi="仿宋" w:eastAsia="仿宋" w:cs="仿宋"/>
          <w:sz w:val="24"/>
          <w:highlight w:val="none"/>
        </w:rPr>
        <w:t>由甲方负责组织验收或者邀请采购代理机构组织有关专家、质检机构共同进行验收。(备注：如采购代理机构组织验收，验收产生的费用由成交供应商支付)；验收合格须交接项目实施的全部资料，并填写政府采购项目验收报告单。验收须以合同、磋商文件及响应文件、澄清、及国家相应的标准、规范等为依据。</w:t>
      </w:r>
    </w:p>
    <w:p w14:paraId="3C7F5747">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2、乙方交付的服务必须等同或优于本项目磋商文件“服务内容及要求”所述的标准。若乙方在其投标文件中承诺的技术标准优于本项目磋商文件“服务内容及要求”所述标准的，按投标的承诺执行。</w:t>
      </w:r>
    </w:p>
    <w:p w14:paraId="7C4405D2">
      <w:pPr>
        <w:spacing w:line="360" w:lineRule="auto"/>
        <w:ind w:firstLine="480" w:firstLineChars="200"/>
        <w:rPr>
          <w:rFonts w:ascii="仿宋" w:hAnsi="仿宋" w:eastAsia="仿宋" w:cs="仿宋"/>
          <w:bCs/>
          <w:sz w:val="24"/>
          <w:highlight w:val="none"/>
        </w:rPr>
      </w:pPr>
      <w:r>
        <w:rPr>
          <w:rFonts w:hint="eastAsia" w:ascii="仿宋" w:hAnsi="仿宋" w:eastAsia="仿宋" w:cs="仿宋"/>
          <w:bCs/>
          <w:sz w:val="24"/>
          <w:highlight w:val="none"/>
        </w:rPr>
        <w:t>3、乙方完成并交付的工作成果需经甲方验收合格，则视为接受。如果在验收时甲方表明不接受乙方提交的工作成果并明示不接受的原因，乙方应当采取合理之措施进行修改，以达到合同规定的要求。</w:t>
      </w:r>
    </w:p>
    <w:p w14:paraId="58A050FC">
      <w:pPr>
        <w:tabs>
          <w:tab w:val="left" w:pos="480"/>
        </w:tabs>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十一、合同争议的解决</w:t>
      </w:r>
    </w:p>
    <w:p w14:paraId="194FAB97">
      <w:pPr>
        <w:spacing w:line="360" w:lineRule="auto"/>
        <w:ind w:firstLine="480" w:firstLineChars="200"/>
        <w:rPr>
          <w:rFonts w:ascii="仿宋" w:hAnsi="仿宋" w:eastAsia="仿宋" w:cs="仿宋"/>
          <w:bCs/>
          <w:sz w:val="24"/>
          <w:highlight w:val="none"/>
        </w:rPr>
      </w:pPr>
      <w:r>
        <w:rPr>
          <w:rFonts w:hint="eastAsia" w:ascii="仿宋" w:hAnsi="仿宋" w:eastAsia="仿宋" w:cs="仿宋"/>
          <w:sz w:val="24"/>
          <w:szCs w:val="24"/>
          <w:highlight w:val="none"/>
        </w:rPr>
        <w:t>合同执行中发生争议的，当事人双方应协商解决，协商达不成一致时，双方均可向甲方所在地有管辖权的人民法院提请诉讼。</w:t>
      </w:r>
    </w:p>
    <w:p w14:paraId="207683BE">
      <w:pPr>
        <w:tabs>
          <w:tab w:val="left" w:pos="480"/>
        </w:tabs>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十二、合同生效</w:t>
      </w:r>
    </w:p>
    <w:p w14:paraId="7DA8D93A">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合同一式【 】份，甲方【 】份，乙方【 】份。合同经甲方、乙方签字盖章后生效，合同执行完毕后，自动终止（合同的服务承诺则长期有效）。</w:t>
      </w:r>
    </w:p>
    <w:p w14:paraId="51A271AB">
      <w:pPr>
        <w:tabs>
          <w:tab w:val="left" w:pos="480"/>
        </w:tabs>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十三、其他事项</w:t>
      </w:r>
    </w:p>
    <w:p w14:paraId="5FEF80AA">
      <w:pPr>
        <w:tabs>
          <w:tab w:val="left" w:pos="480"/>
        </w:tabs>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ab/>
      </w:r>
      <w:r>
        <w:rPr>
          <w:rFonts w:hint="eastAsia" w:ascii="仿宋" w:hAnsi="仿宋" w:eastAsia="仿宋" w:cs="仿宋"/>
          <w:sz w:val="24"/>
          <w:szCs w:val="24"/>
          <w:highlight w:val="none"/>
        </w:rPr>
        <w:t>（一）招标文件、投标文件、澄清表（函）、中标通知书、合同附件均成为合同不可分割的部分，与本合同具有同等法律效力。</w:t>
      </w:r>
    </w:p>
    <w:p w14:paraId="0227E7E8">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（二）本合同未尽事宜，由甲、乙双方协商，签订补充协议作为合同补充，补充协议与原合同具有同等法律效力，补充协议与本合同不一致的，以补充协议为准。</w:t>
      </w:r>
    </w:p>
    <w:p w14:paraId="4FF8633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highlight w:val="none"/>
        </w:rPr>
        <w:t>（三）陕西省财政厅政府采购管理处在合同的履行期间以及履行期后，可以随时检查项目的执行情况，对采购标准、采购内容进行调查核实，并对发现的问题进行处理。</w:t>
      </w:r>
    </w:p>
    <w:p w14:paraId="0702BD61">
      <w:pPr>
        <w:tabs>
          <w:tab w:val="left" w:pos="480"/>
        </w:tabs>
        <w:spacing w:line="360" w:lineRule="auto"/>
        <w:ind w:firstLine="480" w:firstLineChars="200"/>
        <w:rPr>
          <w:rFonts w:ascii="仿宋" w:hAnsi="仿宋" w:eastAsia="仿宋" w:cs="仿宋"/>
          <w:bCs/>
          <w:sz w:val="24"/>
          <w:szCs w:val="24"/>
          <w:highlight w:val="none"/>
        </w:rPr>
      </w:pPr>
      <w:r>
        <w:rPr>
          <w:rFonts w:hint="eastAsia" w:ascii="仿宋" w:hAnsi="仿宋" w:eastAsia="仿宋" w:cs="仿宋"/>
          <w:bCs/>
          <w:sz w:val="24"/>
          <w:szCs w:val="24"/>
          <w:highlight w:val="none"/>
        </w:rPr>
        <w:t>（四）本合同按照中华人民共和国的现行法律进行解释。</w:t>
      </w:r>
    </w:p>
    <w:p w14:paraId="0F27E38B">
      <w:pPr>
        <w:tabs>
          <w:tab w:val="left" w:pos="480"/>
        </w:tabs>
        <w:spacing w:line="360" w:lineRule="auto"/>
        <w:ind w:firstLine="480" w:firstLineChars="200"/>
        <w:rPr>
          <w:rFonts w:ascii="仿宋_GB2312" w:hAnsi="仿宋_GB2312" w:eastAsia="仿宋_GB2312" w:cs="仿宋_GB2312"/>
          <w:sz w:val="28"/>
          <w:szCs w:val="28"/>
          <w:highlight w:val="none"/>
        </w:rPr>
      </w:pPr>
      <w:r>
        <w:rPr>
          <w:rFonts w:hint="eastAsia" w:ascii="仿宋" w:hAnsi="仿宋" w:eastAsia="仿宋" w:cs="仿宋"/>
          <w:bCs/>
          <w:sz w:val="24"/>
          <w:szCs w:val="24"/>
          <w:highlight w:val="none"/>
        </w:rPr>
        <w:t>（五）本合同附件作为本合同的组成部分，与本合同具有同等法律效力。</w:t>
      </w:r>
    </w:p>
    <w:p w14:paraId="085112E8">
      <w:pPr>
        <w:tabs>
          <w:tab w:val="left" w:pos="48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（以下无正文）</w:t>
      </w:r>
    </w:p>
    <w:p w14:paraId="294F05BB">
      <w:pPr>
        <w:spacing w:line="360" w:lineRule="auto"/>
        <w:rPr>
          <w:rFonts w:ascii="仿宋" w:hAnsi="仿宋" w:eastAsia="仿宋" w:cs="仿宋"/>
          <w:sz w:val="24"/>
          <w:highlight w:val="none"/>
        </w:rPr>
      </w:pPr>
    </w:p>
    <w:p w14:paraId="579B9A4B">
      <w:pPr>
        <w:spacing w:line="360" w:lineRule="auto"/>
        <w:rPr>
          <w:rFonts w:ascii="仿宋" w:hAnsi="仿宋" w:eastAsia="仿宋" w:cs="仿宋"/>
          <w:sz w:val="24"/>
          <w:highlight w:val="none"/>
        </w:rPr>
      </w:pPr>
      <w:r>
        <w:rPr>
          <w:rFonts w:hint="eastAsia" w:ascii="仿宋" w:hAnsi="仿宋" w:eastAsia="仿宋" w:cs="仿宋"/>
          <w:sz w:val="24"/>
          <w:highlight w:val="none"/>
        </w:rPr>
        <w:t>甲    方                           乙    方</w:t>
      </w:r>
    </w:p>
    <w:p w14:paraId="077B1467">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单位名称：         </w:t>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 xml:space="preserve">   单位名称： </w:t>
      </w:r>
    </w:p>
    <w:p w14:paraId="17CA6F23">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地   址：  </w:t>
      </w:r>
      <w:r>
        <w:rPr>
          <w:rFonts w:hint="eastAsia" w:ascii="仿宋" w:hAnsi="仿宋" w:eastAsia="仿宋" w:cs="仿宋"/>
          <w:sz w:val="24"/>
          <w:highlight w:val="none"/>
        </w:rPr>
        <w:tab/>
      </w:r>
      <w:r>
        <w:rPr>
          <w:rFonts w:hint="eastAsia" w:ascii="仿宋" w:hAnsi="仿宋" w:eastAsia="仿宋" w:cs="仿宋"/>
          <w:sz w:val="24"/>
          <w:highlight w:val="none"/>
        </w:rPr>
        <w:t xml:space="preserve">       </w:t>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地    址：</w:t>
      </w:r>
    </w:p>
    <w:p w14:paraId="4C1662A3">
      <w:pPr>
        <w:spacing w:line="360" w:lineRule="auto"/>
        <w:rPr>
          <w:rFonts w:ascii="仿宋" w:hAnsi="仿宋" w:eastAsia="仿宋" w:cs="仿宋"/>
          <w:sz w:val="24"/>
          <w:highlight w:val="none"/>
        </w:rPr>
      </w:pPr>
    </w:p>
    <w:p w14:paraId="11D2E7A7">
      <w:pPr>
        <w:spacing w:line="360" w:lineRule="auto"/>
        <w:rPr>
          <w:rFonts w:ascii="仿宋" w:hAnsi="仿宋" w:eastAsia="仿宋" w:cs="仿宋"/>
          <w:sz w:val="24"/>
          <w:highlight w:val="none"/>
        </w:rPr>
      </w:pPr>
    </w:p>
    <w:p w14:paraId="630D9C60">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法定代表人：                       法定代表人： </w:t>
      </w:r>
    </w:p>
    <w:p w14:paraId="1C34FD3F">
      <w:pPr>
        <w:spacing w:line="360" w:lineRule="auto"/>
        <w:rPr>
          <w:rFonts w:ascii="仿宋" w:hAnsi="仿宋" w:eastAsia="仿宋" w:cs="仿宋"/>
          <w:sz w:val="24"/>
          <w:highlight w:val="none"/>
        </w:rPr>
      </w:pPr>
    </w:p>
    <w:p w14:paraId="37E422B8">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联系电话：               </w:t>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 xml:space="preserve">联系电话： </w:t>
      </w:r>
    </w:p>
    <w:p w14:paraId="4614B599">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开 户 行：         </w:t>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 xml:space="preserve">开 户 行： </w:t>
      </w:r>
    </w:p>
    <w:p w14:paraId="238796BC">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账    号：             </w:t>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ab/>
      </w:r>
      <w:r>
        <w:rPr>
          <w:rFonts w:hint="eastAsia" w:ascii="仿宋" w:hAnsi="仿宋" w:eastAsia="仿宋" w:cs="仿宋"/>
          <w:sz w:val="24"/>
          <w:highlight w:val="none"/>
        </w:rPr>
        <w:t xml:space="preserve"> </w:t>
      </w:r>
      <w:r>
        <w:rPr>
          <w:rFonts w:hint="eastAsia" w:ascii="仿宋" w:hAnsi="仿宋" w:eastAsia="仿宋" w:cs="仿宋"/>
          <w:sz w:val="24"/>
          <w:highlight w:val="none"/>
        </w:rPr>
        <w:tab/>
      </w:r>
      <w:r>
        <w:rPr>
          <w:rFonts w:hint="eastAsia" w:ascii="仿宋" w:hAnsi="仿宋" w:eastAsia="仿宋" w:cs="仿宋"/>
          <w:sz w:val="24"/>
          <w:highlight w:val="none"/>
        </w:rPr>
        <w:t>账    号：</w:t>
      </w:r>
    </w:p>
    <w:p w14:paraId="23AE7035">
      <w:pPr>
        <w:spacing w:line="360" w:lineRule="auto"/>
        <w:rPr>
          <w:rFonts w:ascii="仿宋" w:hAnsi="仿宋" w:eastAsia="仿宋" w:cs="仿宋"/>
          <w:sz w:val="24"/>
          <w:highlight w:val="none"/>
        </w:rPr>
      </w:pPr>
      <w:r>
        <w:rPr>
          <w:rFonts w:hint="eastAsia" w:ascii="仿宋" w:hAnsi="仿宋" w:eastAsia="仿宋" w:cs="仿宋"/>
          <w:sz w:val="24"/>
          <w:highlight w:val="none"/>
        </w:rPr>
        <w:t>时    间：                         时    间：</w:t>
      </w:r>
    </w:p>
    <w:p w14:paraId="45C206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7E6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jc w:val="center"/>
    </w:pPr>
    <w:rPr>
      <w:b/>
      <w:spacing w:val="-20"/>
      <w:w w:val="130"/>
      <w:sz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2025-10-13T07:58:47Z</dcterms:created>
  <dc:creator>Administrator</dc:creator>
  <cp:lastModifiedBy>晚风。</cp:lastModifiedBy>
  <dcterms:modified xsi:type="dcterms:W3CDTF">2025-10-13T07:59:19Z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206B815F493C460D9133AE218F333483_12</vt:lpwstr>
  </property>
</Properties>
</file>