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版本号：SXKR2025094220251014001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2025年网络和数据安全运维服务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SXKR20250942</w:t>
      </w:r>
      <w:r>
        <w:br/>
      </w:r>
      <w:r>
        <w:br/>
      </w:r>
      <w:r>
        <w:br/>
      </w:r>
    </w:p>
    <w:p>
      <w:pPr>
        <w:pStyle w:val="null3"/>
        <w:jc w:val="center"/>
        <w:outlineLvl w:val="2"/>
      </w:pPr>
      <w:r>
        <w:rPr>
          <w:rFonts w:ascii="仿宋_GB2312" w:hAnsi="仿宋_GB2312" w:cs="仿宋_GB2312" w:eastAsia="仿宋_GB2312"/>
          <w:sz w:val="28"/>
          <w:b/>
        </w:rPr>
        <w:t>省统计局机关</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省统计局机关</w:t>
      </w:r>
      <w:r>
        <w:rPr>
          <w:rFonts w:ascii="仿宋_GB2312" w:hAnsi="仿宋_GB2312" w:cs="仿宋_GB2312" w:eastAsia="仿宋_GB2312"/>
        </w:rPr>
        <w:t>委托，拟对</w:t>
      </w:r>
      <w:r>
        <w:rPr>
          <w:rFonts w:ascii="仿宋_GB2312" w:hAnsi="仿宋_GB2312" w:cs="仿宋_GB2312" w:eastAsia="仿宋_GB2312"/>
        </w:rPr>
        <w:t>2025年网络和数据安全运维服务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SXKR20250942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2025年网络和数据安全运维服务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根据采购人相关要求，为采购人网络和数据安全软硬件及应用系统提供网络安全和数据安全运维服务，详见招标文件第三章招标项目技术、服务、商务及其他要求，具体以招标文件全部内容要求为准。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采购包1（2025年网络和数据安全运维服务）：属于专门面向中小企业采购。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2、是否接受联合体投标：本项目不接受联合体投标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省统计局机关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陕西省西安市新城区新城大院37号楼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029-63917678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姚瑶、刘昆、代光艳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13379227713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中标金额作为收费的计算基数，收取标准参照国家计委颁发的《招标代理服务收费管理暂行办法》（计价格[2002]1980号）和国家发展改革委员会办公厅颁发的《关于招标代理服务收费有关问题的通知》（发改办价格[2003]857号）的有关规定向采购代理机构一次付清代理服务费，不足8000元按8000元计取。（招标代理服务费在缴付时需备注xxxx项目简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省统计局机关</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省统计局机关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省统计局机关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联系人：姚瑶、刘昆</w:t>
      </w:r>
    </w:p>
    <w:p>
      <w:pPr>
        <w:pStyle w:val="null3"/>
      </w:pPr>
      <w:r>
        <w:rPr>
          <w:rFonts w:ascii="仿宋_GB2312" w:hAnsi="仿宋_GB2312" w:cs="仿宋_GB2312" w:eastAsia="仿宋_GB2312"/>
        </w:rPr>
        <w:t>联系电话：13379227713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根据采购人相关要求，为采购人网络和数据安全软硬件及应用系统提供网络安全和数据安全运维服务，详见招标文件第三章招标项目技术、服务、商务及其他要求，具体以招标文件全部内容要求为准。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2025年网络和数据安全运维服务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标的名称：2025年网络和数据安全运维服务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一、服务内容及要求</w:t>
            </w:r>
          </w:p>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根据采购人相关要求，为采购人网络和数据安全软硬件及应用系统提供网络安全和数据安全运维服务。</w:t>
            </w:r>
          </w:p>
          <w:p>
            <w:pPr>
              <w:pStyle w:val="null3"/>
            </w:pPr>
            <w:r>
              <w:rPr>
                <w:rFonts w:ascii="仿宋_GB2312" w:hAnsi="仿宋_GB2312" w:cs="仿宋_GB2312" w:eastAsia="仿宋_GB2312"/>
              </w:rPr>
              <w:t>（二）服务内容及要求</w:t>
            </w:r>
          </w:p>
          <w:p>
            <w:pPr>
              <w:pStyle w:val="null3"/>
            </w:pPr>
            <w:r>
              <w:rPr>
                <w:rFonts w:ascii="仿宋_GB2312" w:hAnsi="仿宋_GB2312" w:cs="仿宋_GB2312" w:eastAsia="仿宋_GB2312"/>
              </w:rPr>
              <w:t>1.网络和数据安全监控服务</w:t>
            </w:r>
          </w:p>
          <w:p>
            <w:pPr>
              <w:pStyle w:val="null3"/>
            </w:pPr>
            <w:r>
              <w:rPr>
                <w:rFonts w:ascii="仿宋_GB2312" w:hAnsi="仿宋_GB2312" w:cs="仿宋_GB2312" w:eastAsia="仿宋_GB2312"/>
              </w:rPr>
              <w:t>对全省统计网络提供7*24小时实时监测服务，及时发现网络中存在的风险漏洞，对网络中存在的漏洞和隐患要立即进行加固和处置，出具修复加固报告。投标人每季度要对我局网络环境进行全面检测，根据检测结果出具安全报告。</w:t>
            </w:r>
          </w:p>
          <w:p>
            <w:pPr>
              <w:pStyle w:val="null3"/>
            </w:pPr>
            <w:r>
              <w:rPr>
                <w:rFonts w:ascii="仿宋_GB2312" w:hAnsi="仿宋_GB2312" w:cs="仿宋_GB2312" w:eastAsia="仿宋_GB2312"/>
              </w:rPr>
              <w:t>2.信息系统安全监测服务</w:t>
            </w:r>
          </w:p>
          <w:p>
            <w:pPr>
              <w:pStyle w:val="null3"/>
            </w:pPr>
            <w:r>
              <w:rPr>
                <w:rFonts w:ascii="仿宋_GB2312" w:hAnsi="仿宋_GB2312" w:cs="仿宋_GB2312" w:eastAsia="仿宋_GB2312"/>
              </w:rPr>
              <w:t>对我局运行的信息系统进行安全监控和审计，监测系统页面安全，进行应急技术支持和安全情况综合分析等，及时发现和解决信息系统的漏洞和问题，确保我局信息系统安全。</w:t>
            </w:r>
          </w:p>
          <w:p>
            <w:pPr>
              <w:pStyle w:val="null3"/>
            </w:pPr>
            <w:r>
              <w:rPr>
                <w:rFonts w:ascii="仿宋_GB2312" w:hAnsi="仿宋_GB2312" w:cs="仿宋_GB2312" w:eastAsia="仿宋_GB2312"/>
              </w:rPr>
              <w:t>3.网络和数据安全应急响应服务</w:t>
            </w:r>
          </w:p>
          <w:p>
            <w:pPr>
              <w:pStyle w:val="null3"/>
            </w:pPr>
            <w:r>
              <w:rPr>
                <w:rFonts w:ascii="仿宋_GB2312" w:hAnsi="仿宋_GB2312" w:cs="仿宋_GB2312" w:eastAsia="仿宋_GB2312"/>
              </w:rPr>
              <w:t>协助省统计局修订完善网络和数据突发安全事件应急响应预案，重点围绕应急响应制度、程序和措施等方面展开，配合机房管理员处置各类突发安全事件。发生网络安全和数据安全事件时，驻场技术人员要及时响应并采取相应的措施，协助机房管理员对安全事件进行有效处置，尽快恢复网络和系统的正常运行，确保网络安全和数据安全。投标人根据处置情况，撰写详细的应急处置报告。每年协助我局完成应急演练一次，配合完成各环节资料文档。 单次安全事件处置的技术人员至少包含1名网络安全高级工程师和1名中级工程师。</w:t>
            </w:r>
          </w:p>
          <w:p>
            <w:pPr>
              <w:pStyle w:val="null3"/>
            </w:pPr>
            <w:r>
              <w:rPr>
                <w:rFonts w:ascii="仿宋_GB2312" w:hAnsi="仿宋_GB2312" w:cs="仿宋_GB2312" w:eastAsia="仿宋_GB2312"/>
              </w:rPr>
              <w:t>4.等保测评整改服务</w:t>
            </w:r>
          </w:p>
          <w:p>
            <w:pPr>
              <w:pStyle w:val="null3"/>
            </w:pPr>
            <w:r>
              <w:rPr>
                <w:rFonts w:ascii="仿宋_GB2312" w:hAnsi="仿宋_GB2312" w:cs="仿宋_GB2312" w:eastAsia="仿宋_GB2312"/>
              </w:rPr>
              <w:t>按照国家信息安全等级保护测评标准要求，定期对机房物理环境、通信环境、网络边界、云计算平台等进行全面排查，对不满足二级和三级等保要求的设备或系统及时升级整改。协助我局做好年度等保测评工作，根据测评结果，配合做好事后整改工作。 投标人每年至少提供一次等保测评整改服务，每次整改至少两名网络安全专业技术人员参与（1名高级工程师和1名中级工程师），整改时间不少于7个工作日。</w:t>
            </w:r>
          </w:p>
          <w:p>
            <w:pPr>
              <w:pStyle w:val="null3"/>
            </w:pPr>
            <w:r>
              <w:rPr>
                <w:rFonts w:ascii="仿宋_GB2312" w:hAnsi="仿宋_GB2312" w:cs="仿宋_GB2312" w:eastAsia="仿宋_GB2312"/>
              </w:rPr>
              <w:t>5.信息化资产管理服务</w:t>
            </w:r>
          </w:p>
          <w:p>
            <w:pPr>
              <w:pStyle w:val="null3"/>
            </w:pPr>
            <w:r>
              <w:rPr>
                <w:rFonts w:ascii="仿宋_GB2312" w:hAnsi="仿宋_GB2312" w:cs="仿宋_GB2312" w:eastAsia="仿宋_GB2312"/>
              </w:rPr>
              <w:t>建立信息化资产动态监控制度，定期识别、整理、汇总信息化资产情况，标记超过设定阈值未使用的资产，形成资产下线回收机制。资产整理服务每半年至少进行1次，全年不少于2次。每年服务期结束前，投标人向我局提交资产信息表。</w:t>
            </w:r>
          </w:p>
          <w:p>
            <w:pPr>
              <w:pStyle w:val="null3"/>
            </w:pPr>
            <w:r>
              <w:rPr>
                <w:rFonts w:ascii="仿宋_GB2312" w:hAnsi="仿宋_GB2312" w:cs="仿宋_GB2312" w:eastAsia="仿宋_GB2312"/>
              </w:rPr>
              <w:t>6.安全巡检服务</w:t>
            </w:r>
          </w:p>
          <w:p>
            <w:pPr>
              <w:pStyle w:val="null3"/>
            </w:pPr>
            <w:r>
              <w:rPr>
                <w:rFonts w:ascii="仿宋_GB2312" w:hAnsi="仿宋_GB2312" w:cs="仿宋_GB2312" w:eastAsia="仿宋_GB2312"/>
              </w:rPr>
              <w:t>定期对我局各类服务器、应用系统、数据库系统、网络设备、安全设备等信息资产进行安全检查，及时发现各类系统存在的安全漏洞，提供安全漏洞的详细描述和修复方案，并及时修复漏洞，提高我局信息资产的安全防护能力。安全检查结束后，要出具详细的安全巡检报告，并提出系统加固建议。 每月提供安全巡检服务一次，节假日或重要时间点根据我局需要巡检。例行巡检时，可安排1名网络安全中级工程师完成；在重要节假日或网络安全活动期间巡检，要安排1名网络安全高级工程师和1名中级工程师共同完成。</w:t>
            </w:r>
          </w:p>
          <w:p>
            <w:pPr>
              <w:pStyle w:val="null3"/>
            </w:pPr>
            <w:r>
              <w:rPr>
                <w:rFonts w:ascii="仿宋_GB2312" w:hAnsi="仿宋_GB2312" w:cs="仿宋_GB2312" w:eastAsia="仿宋_GB2312"/>
              </w:rPr>
              <w:t>7.网络风险管理服务</w:t>
            </w:r>
          </w:p>
          <w:p>
            <w:pPr>
              <w:pStyle w:val="null3"/>
            </w:pPr>
            <w:r>
              <w:rPr>
                <w:rFonts w:ascii="仿宋_GB2312" w:hAnsi="仿宋_GB2312" w:cs="仿宋_GB2312" w:eastAsia="仿宋_GB2312"/>
              </w:rPr>
              <w:t>网络风险管理包括：风险评估、风险处置、风险接受以及持续的监视与沟通。每个季度对主要网络至少评估1次，重要的网络安全活动要对关键网络评估1次，全年总评估次数不少于5次，每次评估要有1名网络安全高级工程师和1名中级工程师两人以上参加。</w:t>
            </w:r>
          </w:p>
          <w:p>
            <w:pPr>
              <w:pStyle w:val="null3"/>
            </w:pPr>
            <w:r>
              <w:rPr>
                <w:rFonts w:ascii="仿宋_GB2312" w:hAnsi="仿宋_GB2312" w:cs="仿宋_GB2312" w:eastAsia="仿宋_GB2312"/>
              </w:rPr>
              <w:t>8.漏洞扫描服务</w:t>
            </w:r>
          </w:p>
          <w:p>
            <w:pPr>
              <w:pStyle w:val="null3"/>
            </w:pPr>
            <w:r>
              <w:rPr>
                <w:rFonts w:ascii="仿宋_GB2312" w:hAnsi="仿宋_GB2312" w:cs="仿宋_GB2312" w:eastAsia="仿宋_GB2312"/>
              </w:rPr>
              <w:t>定期对我局网络系统进行检测，及时发现安全漏洞，出具扫描报告和主机报告。要求专业技术人员对扫描结果进行验证，对危害较大的漏洞要搭建复现环境，并对复现漏洞进行深入研究分析。另外，投标人还要提供漏洞管理服务。 每月完成一次漏洞扫描服务，在重大网络安全活动前要完成一次漏洞扫描。</w:t>
            </w:r>
          </w:p>
          <w:p>
            <w:pPr>
              <w:pStyle w:val="null3"/>
            </w:pPr>
            <w:r>
              <w:rPr>
                <w:rFonts w:ascii="仿宋_GB2312" w:hAnsi="仿宋_GB2312" w:cs="仿宋_GB2312" w:eastAsia="仿宋_GB2312"/>
              </w:rPr>
              <w:t>9.安全加固服务</w:t>
            </w:r>
          </w:p>
          <w:p>
            <w:pPr>
              <w:pStyle w:val="null3"/>
            </w:pPr>
            <w:r>
              <w:rPr>
                <w:rFonts w:ascii="仿宋_GB2312" w:hAnsi="仿宋_GB2312" w:cs="仿宋_GB2312" w:eastAsia="仿宋_GB2312"/>
              </w:rPr>
              <w:t>根据漏洞扫描及弱点分析结果，对服务器、网络设备、安全设备、终端电脑和应用系统等存在漏洞隐患的地方进行安全加固，主要包括操作系统安全加固和优化、应用软件安全加固和优化、网络设备安全加固和优化等。 每年安全加固次数应不少于漏洞扫描与渗透测试次数之和，每次的安全加固要1名网络安全高级工程师和1名中级工程师同时参与完成。</w:t>
            </w:r>
          </w:p>
          <w:p>
            <w:pPr>
              <w:pStyle w:val="null3"/>
            </w:pPr>
            <w:r>
              <w:rPr>
                <w:rFonts w:ascii="仿宋_GB2312" w:hAnsi="仿宋_GB2312" w:cs="仿宋_GB2312" w:eastAsia="仿宋_GB2312"/>
              </w:rPr>
              <w:t>10.渗透测试服务</w:t>
            </w:r>
          </w:p>
          <w:p>
            <w:pPr>
              <w:pStyle w:val="null3"/>
            </w:pPr>
            <w:r>
              <w:rPr>
                <w:rFonts w:ascii="仿宋_GB2312" w:hAnsi="仿宋_GB2312" w:cs="仿宋_GB2312" w:eastAsia="仿宋_GB2312"/>
              </w:rPr>
              <w:t>定期提供渗透测试服务，出具渗透测试报告，提出网络安全整改建议和方案。渗透测试服务每年至少完成1次，在重要网络安全活动前还需额外进行1次。</w:t>
            </w:r>
          </w:p>
          <w:p>
            <w:pPr>
              <w:pStyle w:val="null3"/>
            </w:pPr>
            <w:r>
              <w:rPr>
                <w:rFonts w:ascii="仿宋_GB2312" w:hAnsi="仿宋_GB2312" w:cs="仿宋_GB2312" w:eastAsia="仿宋_GB2312"/>
              </w:rPr>
              <w:t>11.重点时期安全保障服务</w:t>
            </w:r>
          </w:p>
          <w:p>
            <w:pPr>
              <w:pStyle w:val="null3"/>
            </w:pPr>
            <w:r>
              <w:rPr>
                <w:rFonts w:ascii="仿宋_GB2312" w:hAnsi="仿宋_GB2312" w:cs="仿宋_GB2312" w:eastAsia="仿宋_GB2312"/>
              </w:rPr>
              <w:t>根据中央、国家和省级网络安全部门要求，在重要及敏感的时间节点，要对我局全部的信息化软、硬件设备进行特别加固，要对网络安全设备的运行状态全程监控。如果识别到攻击行为，能够对攻击进行溯源分析，并形成溯源分析报告。 在每次的安全保障期间内至少至少包含1名高级工程师和1名中级工程师，次数和时间按采购人要求执行。</w:t>
            </w:r>
          </w:p>
          <w:p>
            <w:pPr>
              <w:pStyle w:val="null3"/>
            </w:pPr>
            <w:r>
              <w:rPr>
                <w:rFonts w:ascii="仿宋_GB2312" w:hAnsi="仿宋_GB2312" w:cs="仿宋_GB2312" w:eastAsia="仿宋_GB2312"/>
              </w:rPr>
              <w:t>12.网络安全有效性验证</w:t>
            </w:r>
          </w:p>
          <w:p>
            <w:pPr>
              <w:pStyle w:val="null3"/>
            </w:pPr>
            <w:r>
              <w:rPr>
                <w:rFonts w:ascii="仿宋_GB2312" w:hAnsi="仿宋_GB2312" w:cs="仿宋_GB2312" w:eastAsia="仿宋_GB2312"/>
              </w:rPr>
              <w:t>使用专业的有效性验证设备协助我局对省局的网络开展网络安全有效性验证工作。通过端到端测试，验证已部署的各类安全措施是否达到工作预期，并出具安全性验证报告。能够迅速找出现有防御措施的缺失，先于潜在攻击者发现安全失效点。 每次验证需要至少1名中级工程师参与完成，每半年开展一次。</w:t>
            </w:r>
          </w:p>
          <w:p>
            <w:pPr>
              <w:pStyle w:val="null3"/>
            </w:pPr>
            <w:r>
              <w:rPr>
                <w:rFonts w:ascii="仿宋_GB2312" w:hAnsi="仿宋_GB2312" w:cs="仿宋_GB2312" w:eastAsia="仿宋_GB2312"/>
              </w:rPr>
              <w:t>13.安全通报服务</w:t>
            </w:r>
          </w:p>
          <w:p>
            <w:pPr>
              <w:pStyle w:val="null3"/>
            </w:pPr>
            <w:r>
              <w:rPr>
                <w:rFonts w:ascii="仿宋_GB2312" w:hAnsi="仿宋_GB2312" w:cs="仿宋_GB2312" w:eastAsia="仿宋_GB2312"/>
              </w:rPr>
              <w:t>投标人要实时收集互联网最新的漏洞威胁，对漏洞影响进行评估，提出安全加固方法和防范措施。及时通知我局及各市（区）、县级统计单位，协助我局完成安全通报工作，提高全省统计系统对互联网网络安全威胁的预知度和处理力。 最终交付结果：《陕西省统计局公共互联网网络安全情况通报》，《陕西省统计局公共互联网网络安全情况年报》，每月1报+年报，共计13期。</w:t>
            </w:r>
          </w:p>
          <w:p>
            <w:pPr>
              <w:pStyle w:val="null3"/>
            </w:pPr>
            <w:r>
              <w:rPr>
                <w:rFonts w:ascii="仿宋_GB2312" w:hAnsi="仿宋_GB2312" w:cs="仿宋_GB2312" w:eastAsia="仿宋_GB2312"/>
              </w:rPr>
              <w:t>14.网络安全培训服务</w:t>
            </w:r>
          </w:p>
          <w:p>
            <w:pPr>
              <w:pStyle w:val="null3"/>
            </w:pPr>
            <w:r>
              <w:rPr>
                <w:rFonts w:ascii="仿宋_GB2312" w:hAnsi="仿宋_GB2312" w:cs="仿宋_GB2312" w:eastAsia="仿宋_GB2312"/>
              </w:rPr>
              <w:t>培训服务应每半年进行1次，每年不少于2次，培训内容应包含网络安全技术、网络安全法律法规、业务安全保障、行业分析等各个方面，至少1次培训中能够协调资深讲师进行培训。</w:t>
            </w:r>
          </w:p>
          <w:p>
            <w:pPr>
              <w:pStyle w:val="null3"/>
            </w:pPr>
            <w:r>
              <w:rPr>
                <w:rFonts w:ascii="仿宋_GB2312" w:hAnsi="仿宋_GB2312" w:cs="仿宋_GB2312" w:eastAsia="仿宋_GB2312"/>
              </w:rPr>
              <w:t>15.驻场运维服务</w:t>
            </w:r>
          </w:p>
          <w:p>
            <w:pPr>
              <w:pStyle w:val="null3"/>
            </w:pPr>
            <w:r>
              <w:rPr>
                <w:rFonts w:ascii="仿宋_GB2312" w:hAnsi="仿宋_GB2312" w:cs="仿宋_GB2312" w:eastAsia="仿宋_GB2312"/>
              </w:rPr>
              <w:t>投标人至少安排一名网络安全专业的中级工程师在我局驻场运维网络安全，驻场人员要全力配合机房管理员工作，完成好网络安全和数据安全运维的日常工作，并按照机房管理员要求，完成好临时安排的其他工作。 供应商应具备本地化应急服务能力，如遇到重大紧急情况以及突发情况，驻场工程师无法及时解决的，供应商应安排项目团队人员工程师在接到通知后2小时内到场响应。</w:t>
            </w:r>
          </w:p>
          <w:p>
            <w:pPr>
              <w:pStyle w:val="null3"/>
            </w:pPr>
            <w:r>
              <w:rPr>
                <w:rFonts w:ascii="仿宋_GB2312" w:hAnsi="仿宋_GB2312" w:cs="仿宋_GB2312" w:eastAsia="仿宋_GB2312"/>
              </w:rPr>
              <w:t>（三）人员要求</w:t>
            </w:r>
          </w:p>
          <w:p>
            <w:pPr>
              <w:pStyle w:val="null3"/>
            </w:pPr>
            <w:r>
              <w:rPr>
                <w:rFonts w:ascii="仿宋_GB2312" w:hAnsi="仿宋_GB2312" w:cs="仿宋_GB2312" w:eastAsia="仿宋_GB2312"/>
              </w:rPr>
              <w:t>投标人提供拟投入本项目人员管理及配备方案，项目负责人具有一定的技术及管理知识和经验，能很好的执行与完成本项目服务工作，并根据适当情况增加服务人员。</w:t>
            </w:r>
          </w:p>
          <w:p>
            <w:pPr>
              <w:pStyle w:val="null3"/>
            </w:pPr>
            <w:r>
              <w:rPr>
                <w:rFonts w:ascii="仿宋_GB2312" w:hAnsi="仿宋_GB2312" w:cs="仿宋_GB2312" w:eastAsia="仿宋_GB2312"/>
              </w:rPr>
              <w:t>（四）质量保障</w:t>
            </w:r>
          </w:p>
          <w:p>
            <w:pPr>
              <w:pStyle w:val="null3"/>
            </w:pPr>
            <w:r>
              <w:rPr>
                <w:rFonts w:ascii="仿宋_GB2312" w:hAnsi="仿宋_GB2312" w:cs="仿宋_GB2312" w:eastAsia="仿宋_GB2312"/>
              </w:rPr>
              <w:t>供应商应建立完善的质量控制体系，确保服务过程和成果符合国家、陕西省及行业相关规定，且内容真实、准确、完整。</w:t>
            </w:r>
          </w:p>
          <w:p>
            <w:pPr>
              <w:pStyle w:val="null3"/>
            </w:pPr>
            <w:r>
              <w:rPr>
                <w:rFonts w:ascii="仿宋_GB2312" w:hAnsi="仿宋_GB2312" w:cs="仿宋_GB2312" w:eastAsia="仿宋_GB2312"/>
              </w:rPr>
              <w:t>（五）保密要求</w:t>
            </w:r>
          </w:p>
          <w:p>
            <w:pPr>
              <w:pStyle w:val="null3"/>
            </w:pPr>
            <w:r>
              <w:rPr>
                <w:rFonts w:ascii="仿宋_GB2312" w:hAnsi="仿宋_GB2312" w:cs="仿宋_GB2312" w:eastAsia="仿宋_GB2312"/>
              </w:rPr>
              <w:t>供应商需严格遵守国家保密法律法规及省市相关保密规定，对服务过程中接触的敏感信息和数据履行保密义务，不得泄露或用于其他用途。服务商在开展服务前需签订保密协议。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二、需要由供应商提供的服务方案、解决方案或者组织方案</w:t>
            </w:r>
          </w:p>
          <w:p>
            <w:pPr>
              <w:pStyle w:val="null3"/>
            </w:pPr>
            <w:r>
              <w:rPr>
                <w:rFonts w:ascii="仿宋_GB2312" w:hAnsi="仿宋_GB2312" w:cs="仿宋_GB2312" w:eastAsia="仿宋_GB2312"/>
              </w:rPr>
              <w:t>1.重点难点分析及解决方案</w:t>
            </w:r>
          </w:p>
          <w:p>
            <w:pPr>
              <w:pStyle w:val="null3"/>
            </w:pPr>
            <w:r>
              <w:rPr>
                <w:rFonts w:ascii="仿宋_GB2312" w:hAnsi="仿宋_GB2312" w:cs="仿宋_GB2312" w:eastAsia="仿宋_GB2312"/>
              </w:rPr>
              <w:t>供应商应针对本项目实际情况结合过往经验分析并指出项目实施过程中潜在的困难点、风险点，并能够给出妥善的解决方案。</w:t>
            </w:r>
          </w:p>
          <w:p>
            <w:pPr>
              <w:pStyle w:val="null3"/>
            </w:pPr>
            <w:r>
              <w:rPr>
                <w:rFonts w:ascii="仿宋_GB2312" w:hAnsi="仿宋_GB2312" w:cs="仿宋_GB2312" w:eastAsia="仿宋_GB2312"/>
              </w:rPr>
              <w:t>2.应急保障组织方案</w:t>
            </w:r>
          </w:p>
          <w:p>
            <w:pPr>
              <w:pStyle w:val="null3"/>
            </w:pPr>
            <w:r>
              <w:rPr>
                <w:rFonts w:ascii="仿宋_GB2312" w:hAnsi="仿宋_GB2312" w:cs="仿宋_GB2312" w:eastAsia="仿宋_GB2312"/>
              </w:rPr>
              <w:t>供应商应制定合理可行的应急保障组织方案，通过优化组织程序，提高不可预见事件的处理效率、加强控制保障等多种手段，确保项目顺利进行。</w:t>
            </w:r>
          </w:p>
          <w:p>
            <w:pPr>
              <w:pStyle w:val="null3"/>
            </w:pPr>
            <w:r>
              <w:rPr>
                <w:rFonts w:ascii="仿宋_GB2312" w:hAnsi="仿宋_GB2312" w:cs="仿宋_GB2312" w:eastAsia="仿宋_GB2312"/>
              </w:rPr>
              <w:t>3.服务组织方案及合理化建议</w:t>
            </w:r>
          </w:p>
          <w:p>
            <w:pPr>
              <w:pStyle w:val="null3"/>
            </w:pPr>
            <w:r>
              <w:rPr>
                <w:rFonts w:ascii="仿宋_GB2312" w:hAnsi="仿宋_GB2312" w:cs="仿宋_GB2312" w:eastAsia="仿宋_GB2312"/>
              </w:rPr>
              <w:t>供应商根据自身情况提供组织方案及合理化建议。</w:t>
            </w:r>
          </w:p>
          <w:p>
            <w:pPr>
              <w:pStyle w:val="null3"/>
            </w:pPr>
            <w:r>
              <w:rPr>
                <w:rFonts w:ascii="仿宋_GB2312" w:hAnsi="仿宋_GB2312" w:cs="仿宋_GB2312" w:eastAsia="仿宋_GB2312"/>
              </w:rPr>
              <w:t>4.保密措施</w:t>
            </w:r>
          </w:p>
          <w:p>
            <w:pPr>
              <w:pStyle w:val="null3"/>
            </w:pPr>
            <w:r>
              <w:rPr>
                <w:rFonts w:ascii="仿宋_GB2312" w:hAnsi="仿宋_GB2312" w:cs="仿宋_GB2312" w:eastAsia="仿宋_GB2312"/>
              </w:rPr>
              <w:t>供应商应制定保密措施，确保项目团队对项目执行中所获知信息保密。本项目所形成的数据成果归采购人所有。未经采购人同意，供应商不得以商业目的使用该资料或者开发和生产其他产品。</w:t>
            </w:r>
          </w:p>
          <w:p>
            <w:pPr>
              <w:pStyle w:val="null3"/>
            </w:pPr>
            <w:r>
              <w:rPr>
                <w:rFonts w:ascii="仿宋_GB2312" w:hAnsi="仿宋_GB2312" w:cs="仿宋_GB2312" w:eastAsia="仿宋_GB2312"/>
              </w:rPr>
              <w:t>5、服务承诺</w:t>
            </w:r>
          </w:p>
          <w:p>
            <w:pPr>
              <w:pStyle w:val="null3"/>
            </w:pPr>
            <w:r>
              <w:rPr>
                <w:rFonts w:ascii="仿宋_GB2312" w:hAnsi="仿宋_GB2312" w:cs="仿宋_GB2312" w:eastAsia="仿宋_GB2312"/>
              </w:rPr>
              <w:t>针对本项目服务工作中的常见质量和服务问题进行梳理，供应商可根据自身情况对服务标准、过程管理、质量保证、人员培训、后续服务等方面作出有利于本项目开展的承诺。</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1.供应商应提供满足本项目服务需求的人员配置，人员能力结构合理、职责明确。 2.服务人员在服务期间发生任何经济赔偿、劳动纠纷、法律纠纷、安全事故、疾病等等有关问题均由中标人负责处理并承担相应责任。除法律另有明确规定外，采购人不承担连带责任。</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陕西省统计局指定地点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由采购人自行组织验收。验收标准符合国家相关标准及招标文件要求。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投标人在保证金缴付过程中需备注xxxx项目简称+保证金。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1-资格证明文件.docx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（1）本采购包专门面向中小企业采购。服务全部由符合政策要求的中小企业承接。中小企业参加政府采购活动，应当出具政策规定的《中小企业声明函》。 （2）《关于在政府采购活动中查询及使用信用记录有关问题的通知》（财库〔2016〕125号）； （3）《政府采购促进中小企业发展管理办法》（财库〔2020〕46号）、《关于进一步加大政府采购支持中小企业力度的通知》（财库〔2022〕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 号）、陕西省财政厅关于印发《陕西省中小企业政府采购信用融资办法》（陕财办采〔2018〕23 号）； （6）如有颁布最新的政策，以最新已生效的政策为准。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按照招标文件的规定提交投标保证金的（如有设置）</w:t>
            </w:r>
          </w:p>
        </w:tc>
        <w:tc>
          <w:tcPr>
            <w:tcW w:type="dxa" w:w="1661"/>
          </w:tcPr>
          <w:p>
            <w:pPr>
              <w:pStyle w:val="null3"/>
            </w:pPr>
            <w:r>
              <w:rPr>
                <w:rFonts w:ascii="仿宋_GB2312" w:hAnsi="仿宋_GB2312" w:cs="仿宋_GB2312" w:eastAsia="仿宋_GB2312"/>
              </w:rPr>
              <w:t>7-投标保证金缴纳凭证.docx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开标一览表 4-评分细则相应的商务技术资料.docx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报价未超过招标文件中规定的预算金额或者最高限价的</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投标文件中承诺的投标有效期不少于招标文件载明的投标有效期的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投标文件符合法律、法规和招标文件中标注 “★”的实质性条款要求的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投标人提供针对项目的理解和难点、关键点分析，至少应包括：①工作重点；②关键点分析；③工作难点；④服务优势；⑤合理化建议。包含但不限于上述全部内容，且方案详细，清晰有利于项目的得满分(如有缺陷或不足在此分数基础上进行扣分)，以上5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投标人提供针对项目的运维服务技术方案，至少应包括：①网络和数据安全监控、信息系统安全监测、安全巡检服务方案；②等保测评整改服务、渗透测试服务方案；③网络风险管理、漏洞扫描、安全加固服务方案；④网络安全有效性验证、安全通报服务方案；⑤信息化资产管理服务方案；⑥网络安全培训服务方案；包含但不限于上述全部内容，且方案详细，清晰有利于项目的得满分(如有缺陷或不足在此分数基础上进行扣分)，以上6项中： (1)每有1项缺失或内容无法满足项目需求的扣5分； (2)有1项中内容存在缺陷或不足(是指内容方案缺少关键点；对同一问题前后表述矛盾；存在逻辑漏洞、科学原理或常识错误；不利于本项日采购目标实现等任意一种情形)扣3分；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投标人提供针对项目的应急保障实施方案，至少应包括：①网络和数据安全应急响应服务方案；②节假日、重点时期安全保障措施； 包含但不限于上述全部内容，且方案详细，清晰有利于项目的得满分(如有缺陷或不足在此分数基础上进行扣分)，以上2项中：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成果质量管理</w:t>
            </w:r>
          </w:p>
        </w:tc>
        <w:tc>
          <w:tcPr>
            <w:tcW w:type="dxa" w:w="2492"/>
          </w:tcPr>
          <w:p>
            <w:pPr>
              <w:pStyle w:val="null3"/>
            </w:pPr>
            <w:r>
              <w:rPr>
                <w:rFonts w:ascii="仿宋_GB2312" w:hAnsi="仿宋_GB2312" w:cs="仿宋_GB2312" w:eastAsia="仿宋_GB2312"/>
              </w:rPr>
              <w:t>投标人提供针对项目的成果质量保证措施，至少应包括：①质量保障措施；②质量检查措施；③质量管理体系建设及证明文件。包含但不限于上述全部内容，且方案详细，清晰有利于项目的得满分。(如有缺陷或不足在此分数基础上进行扣分)，以上3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投标人提供针对本项目安全保密措施解决方案，至少应包括：①项目风险识别与应对措施；②保密承诺。包含但不限于上述全部内容，且方案详细，清晰有利于项目的得满分(如有缺陷或不足在此分数基础上进行扣分)，以上2项中： (1)每有1项缺失或内容无法满足项目需求的扣3分； (2)有1项中内容存在缺陷或不足(是指内容方案缺少关键点；对同一问题前后表述矛盾；存在逻辑漏洞、科学原理或常识错误；不利于本项日采购目标实现等任意一种情形)扣2分；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投标人须提供项目团队人员（含驻场人员）配置清单或人员配置承诺函，其中： （1）驻场人员具有注册渗透测试工程师（CISP-PTE），得2分； （2）团队人员具有信息系统项目管理师，每有1人得2分，最高得2分； （3）团队人员具备CNNVD信息安全漏洞提交证明（高危）每有1人得2分，最高得4分； 以上人员不可重复得分，投标人未提供证书仅提供团队人员配置清单或者承诺函的，本项最高得1分，满分8分。 注：投标人应提供上述人员身份证扫描件、学历证明、相关资格证或职称证复印件，开标前六个月任意一个月任意类别社保缴纳证明文件，未提供或提供不全不得分。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1.投标人具有信息安全服务资质（应急处理）认证证书（CCRC），得1分。 2.投标人具有信息安全服务资质（风险评估）认证证书（CCRC），得1分。 3.投标人具有国家信息安全漏洞库（CNNVD）技术支撑单位等级证书，一级证书得4分，二级证书得2分，三级证书得1分。 注：以上证书须提供复印件并加盖公章，未提供或提供不全不得分。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项目经验</w:t>
            </w:r>
          </w:p>
        </w:tc>
        <w:tc>
          <w:tcPr>
            <w:tcW w:type="dxa" w:w="2492"/>
          </w:tcPr>
          <w:p>
            <w:pPr>
              <w:pStyle w:val="null3"/>
            </w:pPr>
            <w:r>
              <w:rPr>
                <w:rFonts w:ascii="仿宋_GB2312" w:hAnsi="仿宋_GB2312" w:cs="仿宋_GB2312" w:eastAsia="仿宋_GB2312"/>
              </w:rPr>
              <w:t>投标人提供2022年1月1日至投标截止日期承接的类似安全服务项目业绩，每份合格业绩计2分，最高得10分； 备注：需提供业绩合同证明材料（至少应包含内容关键页、签订日期与签章页），未提供或无法辨识的不得分。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根据财政部令第87号《政府采购货物和服务招标投标管理办法》，综合评分法中的价格分统一采用低价优先法计算，即满足招标文件要求且投标价格最低的投标报价为评标基准价，其价格分为满分。其他投标人的价格分统一按照下列公式计算： 投标报价得分=(评标基准价／投标报价)×10 2.若落实政府采购政策的，以享受政策调整后的价格参与评审。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详见附件：5-拟签订的合同文本.docx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