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版本号：SZB-2025-002-1720251012001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第十六届中国—东盟知识产权局局长会议及系列活动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SZB-2025-002-17</w:t>
      </w:r>
      <w:r>
        <w:br/>
      </w:r>
      <w:r>
        <w:br/>
      </w:r>
      <w:r>
        <w:br/>
      </w:r>
    </w:p>
    <w:p>
      <w:pPr>
        <w:pStyle w:val="null3"/>
        <w:jc w:val="center"/>
        <w:outlineLvl w:val="2"/>
      </w:pPr>
      <w:r>
        <w:rPr>
          <w:rFonts w:ascii="仿宋_GB2312" w:hAnsi="仿宋_GB2312" w:cs="仿宋_GB2312" w:eastAsia="仿宋_GB2312"/>
          <w:sz w:val="28"/>
          <w:b/>
        </w:rPr>
        <w:t>陕西省知识产权局机关</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陕西省知识产权局机关</w:t>
      </w:r>
      <w:r>
        <w:rPr>
          <w:rFonts w:ascii="仿宋_GB2312" w:hAnsi="仿宋_GB2312" w:cs="仿宋_GB2312" w:eastAsia="仿宋_GB2312"/>
        </w:rPr>
        <w:t>委托，拟对</w:t>
      </w:r>
      <w:r>
        <w:rPr>
          <w:rFonts w:ascii="仿宋_GB2312" w:hAnsi="仿宋_GB2312" w:cs="仿宋_GB2312" w:eastAsia="仿宋_GB2312"/>
        </w:rPr>
        <w:t>第十六届中国—东盟知识产权局局长会议及系列活动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SZB-2025-002-17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第十六届中国—东盟知识产权局局长会议及系列活动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按照国家知识产权局要求，完成第十六届中国—东盟知识产权局局长会议及系列活动总体设计、会务接待、大会宣传片、视频及视觉设计制作、整体宣传等。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1、营业执照：具有独立承担民事责任能力的法人、其他组织或自然人，提供合法有效的统一社会信用代码营业执照（其他组织提供相关证明资料，自然人应提供身份证）</w:t>
      </w:r>
    </w:p>
    <w:p>
      <w:pPr>
        <w:pStyle w:val="null3"/>
      </w:pPr>
      <w:r>
        <w:rPr>
          <w:rFonts w:ascii="仿宋_GB2312" w:hAnsi="仿宋_GB2312" w:cs="仿宋_GB2312" w:eastAsia="仿宋_GB2312"/>
        </w:rPr>
        <w:t>2、法定代表人授权委托书：法定代表人参加投标的，提供本人身份证复印件；法定代表人授权他人参加投标的，提供法定代表人授权委托书</w:t>
      </w:r>
    </w:p>
    <w:p>
      <w:pPr>
        <w:pStyle w:val="null3"/>
      </w:pPr>
      <w:r>
        <w:rPr>
          <w:rFonts w:ascii="仿宋_GB2312" w:hAnsi="仿宋_GB2312" w:cs="仿宋_GB2312" w:eastAsia="仿宋_GB2312"/>
        </w:rPr>
        <w:t>3、财务状况报告：财务状况报告：提供 2024 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4、社保缴纳证明：提供供应商2025年1月以来已缴存的任意时段的社会保障资金缴存单据或社保机构开具的社会保险参保缴费情况证明，依法不需要缴纳社会保障资金的应提供相关文件证明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5、税收缴纳证明：提供2025年1月以来已缴纳任意时段完税凭证或税务机关开具的完税证明（任意税种），依法免税的应提供相关文件证明</w:t>
      </w:r>
    </w:p>
    <w:p>
      <w:pPr>
        <w:pStyle w:val="null3"/>
      </w:pPr>
      <w:r>
        <w:rPr>
          <w:rFonts w:ascii="仿宋_GB2312" w:hAnsi="仿宋_GB2312" w:cs="仿宋_GB2312" w:eastAsia="仿宋_GB2312"/>
        </w:rPr>
        <w:t>6、信用记录：参加本次政府采购活动前3年内在经营活动中没有重大违纪，以及未被列入失信被执行人、重大税收违法案件当事人名单、政府采购严重违法失信行为记录名单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8、信用主体查询：供应商通过“信用中国”网站(www.creditchina.gov.cn)查询相关主体信用记录，查询时间须在采购文件发售期至开标截止时间之间，并将网页截图附在响应文件中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13484519817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西安市雁翔路99号交大博源科技广场C座12层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18821775788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按国家计委颁发的《招标代理服务收费管理暂行办法》（计价格[2002]1980号）计算收取，支付依据：按（发改办价格【2003】857号文件），由中标供应商在领取中标通知书时向招标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陕西省知识产权局机关</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联系人：李楠</w:t>
      </w:r>
    </w:p>
    <w:p>
      <w:pPr>
        <w:pStyle w:val="null3"/>
      </w:pPr>
      <w:r>
        <w:rPr>
          <w:rFonts w:ascii="仿宋_GB2312" w:hAnsi="仿宋_GB2312" w:cs="仿宋_GB2312" w:eastAsia="仿宋_GB2312"/>
        </w:rPr>
        <w:t>联系电话：18821775788</w:t>
      </w:r>
    </w:p>
    <w:p>
      <w:pPr>
        <w:pStyle w:val="null3"/>
      </w:pPr>
      <w:r>
        <w:rPr>
          <w:rFonts w:ascii="仿宋_GB2312" w:hAnsi="仿宋_GB2312" w:cs="仿宋_GB2312" w:eastAsia="仿宋_GB2312"/>
        </w:rPr>
        <w:t>地址：西安市雁翔路99号交大博源科技广场C座12层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按照国家知识产权局要求，完成第十六届中国—东盟知识产权局局长会议及系列活动总体设计、会务接待、大会宣传片、视频及视觉设计制作、整体宣传等。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第十六届中国—东盟知识产权局局长会议及系列活动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标的名称：第十六届中国—东盟知识产权局局长会议及系列活动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color w:val="333333"/>
                <w:shd w:fill="FFFFFF" w:val="clear"/>
              </w:rPr>
              <w:t>整体活动的会务流程、规划及布局，包括但不限于会务接待、会务保障、会务用车、会务食宿等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color w:val="333333"/>
                <w:shd w:fill="FFFFFF" w:val="clear"/>
              </w:rPr>
              <w:t>会场布置搭建及物料设计制作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color w:val="333333"/>
                <w:shd w:fill="FFFFFF" w:val="clear"/>
              </w:rPr>
              <w:t>制作完成第十六届中国</w:t>
            </w:r>
            <w:r>
              <w:rPr>
                <w:rFonts w:ascii="仿宋_GB2312" w:hAnsi="仿宋_GB2312" w:cs="仿宋_GB2312" w:eastAsia="仿宋_GB2312"/>
                <w:sz w:val="28"/>
                <w:color w:val="333333"/>
                <w:shd w:fill="FFFFFF" w:val="clear"/>
              </w:rPr>
              <w:t>—东盟知识产权局局长会议及系列活动宣传片</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color w:val="333333"/>
                <w:shd w:fill="FFFFFF" w:val="clear"/>
              </w:rPr>
              <w:t>制作完成大会各个环节的大屏视效及视觉设计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8"/>
                <w:color w:val="333333"/>
                <w:shd w:fill="FFFFFF" w:val="clear"/>
              </w:rPr>
              <w:t>会议相关摄影、摄像</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560"/>
              <w:jc w:val="left"/>
            </w:pPr>
            <w:r>
              <w:rPr>
                <w:rFonts w:ascii="仿宋_GB2312" w:hAnsi="仿宋_GB2312" w:cs="仿宋_GB2312" w:eastAsia="仿宋_GB2312"/>
                <w:sz w:val="28"/>
                <w:color w:val="333333"/>
                <w:shd w:fill="FFFFFF" w:val="clear"/>
              </w:rPr>
              <w:t>整体活动的宣传内容策划，包括在重点新闻客户端、新闻网站分发，海外传播；深度内容生产、客户端开屏页展示、系列短视频制作等，在微信公众号、视频号、抖音号、微博等商业矩阵推送、宣传。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西安市、杨凌示范区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按《民法典》相关规定执行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具有独立承担民事责任能力的法人、其他组织或自然人，提供合法有效的统一社会信用代码营业执照（其他组织提供相关证明资料，自然人应提供身份证）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 2024 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提供供应商2025年1月以来已缴存的任意时段的社会保障资金缴存单据或社保机构开具的社会保险参保缴费情况证明，依法不需要缴纳社会保障资金的应提供相关文件证明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供应商通过“信用中国”网站(www.creditchina.gov.cn)查询相关主体信用记录，查询时间须在采购文件发售期至开标截止时间之间，并将网页截图附在响应文件中</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策划方案</w:t>
            </w:r>
          </w:p>
        </w:tc>
        <w:tc>
          <w:tcPr>
            <w:tcW w:type="dxa" w:w="2492"/>
          </w:tcPr>
          <w:p>
            <w:pPr>
              <w:pStyle w:val="null3"/>
            </w:pPr>
            <w:r>
              <w:rPr>
                <w:rFonts w:ascii="仿宋_GB2312" w:hAnsi="仿宋_GB2312" w:cs="仿宋_GB2312" w:eastAsia="仿宋_GB2312"/>
              </w:rPr>
              <w:t>制作完成大会各个环节的大屏视效及视觉设计；制作完成第十六届中国—东盟知识产权局局长会议及系列活动宣传片；会场布置搭建及物料设计制作，提供大会所需相关设备，活动组织及工作安排完善、合理，岗位分工明确得20-30分； 基本合理得10-20分；一般得0-10分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会务服务</w:t>
            </w:r>
          </w:p>
        </w:tc>
        <w:tc>
          <w:tcPr>
            <w:tcW w:type="dxa" w:w="2492"/>
          </w:tcPr>
          <w:p>
            <w:pPr>
              <w:pStyle w:val="null3"/>
            </w:pPr>
            <w:r>
              <w:rPr>
                <w:rFonts w:ascii="仿宋_GB2312" w:hAnsi="仿宋_GB2312" w:cs="仿宋_GB2312" w:eastAsia="仿宋_GB2312"/>
              </w:rPr>
              <w:t>整体活动的会务流程、规划及布局，包括但不限于会务接待、会务保障、会务用车、会务食宿、会议相关摄影、摄像等。工作安排有序、有详细的服务攻略12-20分，服务方案较为合理赋7-12分，服务方案粗略赋0-7分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会务宣传</w:t>
            </w:r>
          </w:p>
        </w:tc>
        <w:tc>
          <w:tcPr>
            <w:tcW w:type="dxa" w:w="2492"/>
          </w:tcPr>
          <w:p>
            <w:pPr>
              <w:pStyle w:val="null3"/>
            </w:pPr>
            <w:r>
              <w:rPr>
                <w:rFonts w:ascii="仿宋_GB2312" w:hAnsi="仿宋_GB2312" w:cs="仿宋_GB2312" w:eastAsia="仿宋_GB2312"/>
              </w:rPr>
              <w:t>整体活动的宣传内容策划，包括在重点新闻客户端、新闻网站分发，海外传播；深度内容生产、客户端开屏页展示、系列短视频制作等，在微信公众号、视频号、抖音号、微博等商业矩阵推送、宣传等。根据大会性质积极宣传，提升曝光量，突出亮点赋12-20分，宣传方案一般赋7-12分，宣传方案粗略或者不全面赋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供应商结合本项目实际情况制定合理、可行、完整的总体进度计划及保障措施。 进度计划及保障措施内容完整且时效性强，能够切合本项目实际情况对进度关键节点的控制和保障措施详细描述，完全满足采购要求，计9-14分； 进度计划及保障措施内容单一，基本可行，计4-9分； 进度计划及保障措施有偏差，没有针对性，计0-4分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提供供应商2021年1月1日至今举办过省级及以上大型会议的，每提供1个得2分，本项目最高得6分。 （业绩证明包括：合同，以合同签订时间为准，须附合同的扫描件加盖公章）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评标基准价：通过资格性审查和符合性审查且报价最低的投标报价为评标基准价。 投标报价得分：投标报价得分统一按照下列公式计算： 价格分=(评标基准价／投标报价)×价格权值×100 （注：如评标委员会一致认为最低报价或某些分项报价明显不合理，有降低质量、不能诚信履约的可能时，评标委员会有权通知投标人进行解释。如投标人未能在规定期限内作出解释，或所作解释不合理，经评标委员会取得一致意见后，对该投标人将不予推荐。）</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