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37C77">
      <w:pPr>
        <w:spacing w:line="360" w:lineRule="auto"/>
        <w:jc w:val="center"/>
        <w:rPr>
          <w:rFonts w:hint="eastAsia" w:ascii="仿宋" w:hAnsi="仿宋" w:eastAsia="仿宋" w:cs="仿宋"/>
          <w:b/>
          <w:bCs/>
          <w:color w:val="auto"/>
          <w:kern w:val="0"/>
          <w:sz w:val="48"/>
          <w:szCs w:val="48"/>
          <w:highlight w:val="none"/>
          <w:lang w:eastAsia="zh-CN"/>
        </w:rPr>
      </w:pPr>
    </w:p>
    <w:p w14:paraId="70C2CD8F">
      <w:pPr>
        <w:spacing w:line="360" w:lineRule="auto"/>
        <w:jc w:val="center"/>
        <w:rPr>
          <w:rFonts w:hint="eastAsia" w:ascii="仿宋" w:hAnsi="仿宋" w:eastAsia="仿宋" w:cs="仿宋"/>
          <w:b/>
          <w:bCs/>
          <w:color w:val="auto"/>
          <w:kern w:val="0"/>
          <w:sz w:val="48"/>
          <w:szCs w:val="48"/>
          <w:highlight w:val="none"/>
          <w:lang w:eastAsia="zh-CN"/>
        </w:rPr>
      </w:pPr>
    </w:p>
    <w:p w14:paraId="76DBE4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r>
        <w:rPr>
          <w:rFonts w:hint="eastAsia" w:ascii="仿宋" w:hAnsi="仿宋" w:eastAsia="仿宋" w:cs="仿宋"/>
          <w:b/>
          <w:bCs/>
          <w:color w:val="auto"/>
          <w:kern w:val="0"/>
          <w:sz w:val="48"/>
          <w:szCs w:val="48"/>
          <w:highlight w:val="none"/>
          <w:lang w:eastAsia="zh-CN"/>
        </w:rPr>
        <w:t>西北妇女儿童医院</w:t>
      </w:r>
    </w:p>
    <w:p w14:paraId="2B2650E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r>
        <w:rPr>
          <w:rFonts w:hint="eastAsia" w:ascii="仿宋" w:hAnsi="仿宋" w:eastAsia="仿宋" w:cs="仿宋"/>
          <w:b/>
          <w:bCs/>
          <w:color w:val="auto"/>
          <w:kern w:val="0"/>
          <w:sz w:val="48"/>
          <w:szCs w:val="48"/>
          <w:highlight w:val="none"/>
          <w:lang w:eastAsia="zh-CN"/>
        </w:rPr>
        <w:t>曲江院区净化空调外包服务项目合同</w:t>
      </w:r>
    </w:p>
    <w:p w14:paraId="6A709064">
      <w:pPr>
        <w:jc w:val="center"/>
        <w:rPr>
          <w:rFonts w:hint="eastAsia" w:ascii="仿宋" w:hAnsi="仿宋" w:eastAsia="仿宋" w:cs="仿宋"/>
          <w:b/>
          <w:color w:val="auto"/>
          <w:sz w:val="52"/>
          <w:szCs w:val="52"/>
          <w:highlight w:val="none"/>
        </w:rPr>
      </w:pPr>
    </w:p>
    <w:p w14:paraId="6BC95486">
      <w:pPr>
        <w:jc w:val="center"/>
        <w:rPr>
          <w:rFonts w:hint="eastAsia" w:ascii="仿宋" w:hAnsi="仿宋" w:eastAsia="仿宋" w:cs="仿宋"/>
          <w:color w:val="auto"/>
          <w:sz w:val="30"/>
          <w:szCs w:val="30"/>
          <w:highlight w:val="none"/>
        </w:rPr>
      </w:pPr>
    </w:p>
    <w:p w14:paraId="7F3AE8CB">
      <w:pPr>
        <w:pStyle w:val="4"/>
        <w:rPr>
          <w:rFonts w:hint="eastAsia" w:ascii="仿宋" w:hAnsi="仿宋" w:eastAsia="仿宋" w:cs="仿宋"/>
          <w:color w:val="auto"/>
          <w:sz w:val="30"/>
          <w:szCs w:val="30"/>
          <w:highlight w:val="none"/>
        </w:rPr>
      </w:pPr>
    </w:p>
    <w:p w14:paraId="72DA5C7D">
      <w:pPr>
        <w:rPr>
          <w:rFonts w:hint="eastAsia" w:ascii="仿宋" w:hAnsi="仿宋" w:eastAsia="仿宋" w:cs="仿宋"/>
          <w:color w:val="auto"/>
          <w:highlight w:val="none"/>
        </w:rPr>
      </w:pPr>
    </w:p>
    <w:p w14:paraId="1B61B4D9">
      <w:pPr>
        <w:jc w:val="center"/>
        <w:rPr>
          <w:rFonts w:hint="eastAsia" w:ascii="仿宋" w:hAnsi="仿宋" w:eastAsia="仿宋" w:cs="仿宋"/>
          <w:color w:val="auto"/>
          <w:sz w:val="30"/>
          <w:szCs w:val="30"/>
          <w:highlight w:val="none"/>
        </w:rPr>
      </w:pPr>
    </w:p>
    <w:p w14:paraId="1E77E5E2">
      <w:pPr>
        <w:jc w:val="center"/>
        <w:rPr>
          <w:rFonts w:hint="eastAsia" w:ascii="仿宋" w:hAnsi="仿宋" w:eastAsia="仿宋" w:cs="仿宋"/>
          <w:color w:val="auto"/>
          <w:sz w:val="30"/>
          <w:szCs w:val="30"/>
          <w:highlight w:val="none"/>
        </w:rPr>
      </w:pPr>
    </w:p>
    <w:p w14:paraId="46295F7C">
      <w:pPr>
        <w:jc w:val="center"/>
        <w:rPr>
          <w:rFonts w:hint="eastAsia" w:ascii="仿宋" w:hAnsi="仿宋" w:eastAsia="仿宋" w:cs="仿宋"/>
          <w:color w:val="auto"/>
          <w:sz w:val="30"/>
          <w:szCs w:val="30"/>
          <w:highlight w:val="none"/>
        </w:rPr>
      </w:pPr>
    </w:p>
    <w:p w14:paraId="0710E303">
      <w:pPr>
        <w:jc w:val="center"/>
        <w:rPr>
          <w:rFonts w:hint="eastAsia" w:ascii="仿宋" w:hAnsi="仿宋" w:eastAsia="仿宋" w:cs="仿宋"/>
          <w:color w:val="auto"/>
          <w:sz w:val="30"/>
          <w:szCs w:val="30"/>
          <w:highlight w:val="none"/>
        </w:rPr>
      </w:pPr>
    </w:p>
    <w:p w14:paraId="26BE4BCC">
      <w:pPr>
        <w:jc w:val="center"/>
        <w:rPr>
          <w:rFonts w:hint="eastAsia" w:ascii="仿宋" w:hAnsi="仿宋" w:eastAsia="仿宋" w:cs="仿宋"/>
          <w:color w:val="auto"/>
          <w:sz w:val="28"/>
          <w:szCs w:val="28"/>
          <w:highlight w:val="none"/>
        </w:rPr>
      </w:pPr>
    </w:p>
    <w:p w14:paraId="21AF2A92">
      <w:pPr>
        <w:jc w:val="center"/>
        <w:rPr>
          <w:rFonts w:hint="eastAsia" w:ascii="仿宋" w:hAnsi="仿宋" w:eastAsia="仿宋" w:cs="仿宋"/>
          <w:color w:val="auto"/>
          <w:sz w:val="30"/>
          <w:szCs w:val="30"/>
          <w:highlight w:val="none"/>
        </w:rPr>
      </w:pPr>
    </w:p>
    <w:p w14:paraId="2B1800E5">
      <w:pPr>
        <w:jc w:val="center"/>
        <w:rPr>
          <w:rFonts w:hint="eastAsia" w:ascii="仿宋" w:hAnsi="仿宋" w:eastAsia="仿宋" w:cs="仿宋"/>
          <w:color w:val="auto"/>
          <w:sz w:val="30"/>
          <w:szCs w:val="30"/>
          <w:highlight w:val="none"/>
        </w:rPr>
      </w:pPr>
    </w:p>
    <w:p w14:paraId="5FC1E186">
      <w:pPr>
        <w:spacing w:line="360" w:lineRule="auto"/>
        <w:rPr>
          <w:rFonts w:hint="eastAsia" w:ascii="仿宋" w:hAnsi="仿宋" w:eastAsia="仿宋" w:cs="仿宋"/>
          <w:color w:val="auto"/>
          <w:sz w:val="32"/>
          <w:szCs w:val="32"/>
          <w:highlight w:val="none"/>
        </w:rPr>
      </w:pPr>
    </w:p>
    <w:p w14:paraId="4C7041EF">
      <w:pPr>
        <w:spacing w:line="360" w:lineRule="auto"/>
        <w:ind w:firstLine="567"/>
        <w:rPr>
          <w:rFonts w:hint="eastAsia" w:ascii="仿宋" w:hAnsi="仿宋" w:eastAsia="仿宋" w:cs="仿宋"/>
          <w:color w:val="auto"/>
          <w:sz w:val="32"/>
          <w:szCs w:val="32"/>
          <w:highlight w:val="none"/>
        </w:rPr>
      </w:pPr>
    </w:p>
    <w:p w14:paraId="66DB117D">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甲  方：西北妇女儿童医院 </w:t>
      </w:r>
    </w:p>
    <w:p w14:paraId="512C7C83">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乙  方：</w:t>
      </w:r>
    </w:p>
    <w:p w14:paraId="415AF031">
      <w:pPr>
        <w:rPr>
          <w:rFonts w:hint="eastAsia" w:ascii="仿宋" w:hAnsi="仿宋" w:eastAsia="仿宋" w:cs="仿宋"/>
          <w:color w:val="auto"/>
          <w:sz w:val="32"/>
          <w:szCs w:val="32"/>
          <w:highlight w:val="none"/>
        </w:rPr>
      </w:pPr>
    </w:p>
    <w:p w14:paraId="77849647">
      <w:pPr>
        <w:jc w:val="center"/>
        <w:rPr>
          <w:rFonts w:hint="eastAsia" w:ascii="仿宋" w:hAnsi="仿宋" w:eastAsia="仿宋" w:cs="仿宋"/>
          <w:color w:val="auto"/>
          <w:sz w:val="32"/>
          <w:szCs w:val="32"/>
          <w:highlight w:val="none"/>
        </w:rPr>
      </w:pPr>
    </w:p>
    <w:p w14:paraId="49E07E1D">
      <w:pPr>
        <w:jc w:val="center"/>
        <w:rPr>
          <w:rFonts w:hint="eastAsia" w:ascii="仿宋" w:hAnsi="仿宋" w:eastAsia="仿宋" w:cs="仿宋"/>
          <w:b/>
          <w:color w:val="auto"/>
          <w:sz w:val="52"/>
          <w:szCs w:val="52"/>
          <w:highlight w:val="none"/>
        </w:rPr>
        <w:sectPr>
          <w:headerReference r:id="rId4" w:type="first"/>
          <w:footerReference r:id="rId6" w:type="first"/>
          <w:headerReference r:id="rId3" w:type="default"/>
          <w:footerReference r:id="rId5"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titlePg/>
          <w:docGrid w:linePitch="312" w:charSpace="0"/>
        </w:sectPr>
      </w:pPr>
    </w:p>
    <w:p w14:paraId="45D46EAE">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甲方：西北妇女儿童医院</w:t>
      </w:r>
    </w:p>
    <w:p w14:paraId="6498CF83">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p w14:paraId="717DDA4C">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依据《中华人民共和国政府采购法》、《中华人民共和国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》及其他有关法律、行政法规，遵循平等、自愿、公平和诚实信用的原则，双方就本</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协</w:t>
      </w:r>
      <w:r>
        <w:rPr>
          <w:rFonts w:hint="eastAsia" w:ascii="仿宋" w:hAnsi="仿宋" w:eastAsia="仿宋" w:cs="仿宋"/>
          <w:color w:val="auto"/>
          <w:sz w:val="24"/>
          <w:szCs w:val="24"/>
          <w:highlight w:val="none"/>
          <w:lang w:val="en-US" w:eastAsia="zh-CN"/>
        </w:rPr>
        <w:t>商一致，订立本合同。</w:t>
      </w:r>
    </w:p>
    <w:p w14:paraId="05563A9F">
      <w:pPr>
        <w:pStyle w:val="11"/>
        <w:keepNext w:val="0"/>
        <w:keepLines w:val="0"/>
        <w:pageBreakBefore w:val="0"/>
        <w:widowControl w:val="0"/>
        <w:kinsoku/>
        <w:wordWrap/>
        <w:overflowPunct w:val="0"/>
        <w:topLinePunct w:val="0"/>
        <w:autoSpaceDE/>
        <w:autoSpaceDN/>
        <w:bidi w:val="0"/>
        <w:adjustRightInd/>
        <w:snapToGrid/>
        <w:spacing w:line="460" w:lineRule="exact"/>
        <w:textAlignment w:val="auto"/>
        <w:rPr>
          <w:rFonts w:hint="eastAsia" w:ascii="仿宋" w:hAnsi="仿宋" w:eastAsia="仿宋" w:cs="仿宋"/>
          <w:b/>
          <w:bCs/>
          <w:color w:val="auto"/>
          <w:sz w:val="24"/>
          <w:szCs w:val="24"/>
          <w:highlight w:val="none"/>
          <w:lang w:val="en-US" w:eastAsia="zh-CN"/>
        </w:rPr>
      </w:pPr>
      <w:bookmarkStart w:id="0" w:name="_Toc17778"/>
      <w:r>
        <w:rPr>
          <w:rFonts w:hint="eastAsia" w:ascii="仿宋" w:hAnsi="仿宋" w:eastAsia="仿宋" w:cs="仿宋"/>
          <w:b/>
          <w:bCs/>
          <w:color w:val="auto"/>
          <w:sz w:val="24"/>
          <w:szCs w:val="24"/>
          <w:highlight w:val="none"/>
          <w:lang w:val="en-US" w:eastAsia="zh-CN"/>
        </w:rPr>
        <w:t>一、服务内容</w:t>
      </w:r>
      <w:bookmarkEnd w:id="0"/>
    </w:p>
    <w:p w14:paraId="77B9B9CB">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服务范围</w:t>
      </w:r>
    </w:p>
    <w:p w14:paraId="2208C879">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lang w:val="en-US" w:eastAsia="zh-CN"/>
        </w:rPr>
        <w:t>本项目包含西北妇女儿童医院曲江院区净化空调系统全年运行管理、维护保养及年检服务等。</w:t>
      </w:r>
    </w:p>
    <w:p w14:paraId="2F9037B0">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（二）服务要求</w:t>
      </w:r>
    </w:p>
    <w:p w14:paraId="5D414021">
      <w:pPr>
        <w:spacing w:line="360" w:lineRule="auto"/>
        <w:ind w:right="28"/>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总体要求：</w:t>
      </w:r>
    </w:p>
    <w:p w14:paraId="17F847E0">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1.负责服务范围内所有项目的值班、运行操作、现场巡检、日常维保等管理工作,配合医院做好相关项目的年检工作，确保空调系统正常运行，并满足医院使用要求,同时又能做好各项节能工作。</w:t>
      </w:r>
    </w:p>
    <w:p w14:paraId="5D0A56CE">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2.工作人员必须有专业上岗证，具有丰富的技术经验。</w:t>
      </w:r>
    </w:p>
    <w:p w14:paraId="73AFFE47">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具体要求：</w:t>
      </w:r>
    </w:p>
    <w:p w14:paraId="78F3B212">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（一）曲江院区建筑面积15万平方米，2015年投入使用。洁净科室包含手术室、NICU、CICU、血液移植仓、静配中心、PCR实验室、PCR（方舱）实验室、PICU、发热门诊、遗传分子实验室、转化医学中心、供应室等</w:t>
      </w:r>
      <w:r>
        <w:rPr>
          <w:rFonts w:hint="eastAsia" w:ascii="仿宋" w:hAnsi="仿宋" w:eastAsia="仿宋" w:cs="仿宋"/>
          <w:color w:val="auto"/>
          <w:sz w:val="24"/>
          <w:lang w:val="zh-CN" w:eastAsia="zh-CN"/>
        </w:rPr>
        <w:t>净化空调系统</w:t>
      </w:r>
      <w:r>
        <w:rPr>
          <w:rFonts w:hint="eastAsia" w:ascii="仿宋" w:hAnsi="仿宋" w:eastAsia="仿宋" w:cs="仿宋"/>
          <w:color w:val="auto"/>
          <w:sz w:val="24"/>
          <w:lang w:val="en-US" w:eastAsia="zh-CN"/>
        </w:rPr>
        <w:t>维护保养工作。</w:t>
      </w:r>
    </w:p>
    <w:p w14:paraId="01469F98">
      <w:pPr>
        <w:autoSpaceDE w:val="0"/>
        <w:autoSpaceDN w:val="0"/>
        <w:adjustRightInd w:val="0"/>
        <w:snapToGrid w:val="0"/>
        <w:spacing w:line="460" w:lineRule="exact"/>
        <w:ind w:firstLine="240" w:firstLineChars="10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（二）服务内容包含：</w:t>
      </w:r>
    </w:p>
    <w:p w14:paraId="77BD8253">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1、提供24小时专人值班管理，专人开机、停机。</w:t>
      </w:r>
    </w:p>
    <w:p w14:paraId="3BE548B4">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2、对甲方相关人员提供无偿的培训服务，帮助甲方掌握相关设备的使用情况。</w:t>
      </w:r>
    </w:p>
    <w:p w14:paraId="72AF5A09">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3、对净化系统内所有机械传动部份进行检查调整、维修保养。</w:t>
      </w:r>
    </w:p>
    <w:p w14:paraId="794C7633">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4、对强、弱电部分及其负载设备性能进行全面的检查调整、维修保养。</w:t>
      </w:r>
    </w:p>
    <w:p w14:paraId="15D7C5EB">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5、对自动控制系统的自控程序、执行器、电脑中央处理器(DDC)、仪器仪表进行检查调整、维修服务。</w:t>
      </w:r>
    </w:p>
    <w:p w14:paraId="40C02CC0">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6、对净化系统区域中的设备和配件，如:模块机组、风机、风管、风阀、防火阀、连接器、水管、水阀、水泵、初效、中效、亚高效、高效过滤器、表冷器、加热器、减震器、加湿器、高静压箱等及其附件进行检查、清洗消毒、调整、维修、保养、更换服务。</w:t>
      </w:r>
    </w:p>
    <w:p w14:paraId="7CD6C693">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7、洁净区域日常温度、湿度、洁净度、送风量、新风量等参数记录和调校、年度第三方洁净度检测和每季度自测。</w:t>
      </w:r>
    </w:p>
    <w:p w14:paraId="0B199820">
      <w:pPr>
        <w:autoSpaceDE w:val="0"/>
        <w:autoSpaceDN w:val="0"/>
        <w:adjustRightInd w:val="0"/>
        <w:snapToGrid w:val="0"/>
        <w:spacing w:line="460" w:lineRule="exact"/>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8、净化区域各科室内的装饰部分：包括电动门、三柜、情报面板、气密门、墙顶地面、用水设备的上下水、刷手池、照明、开关插座、门禁、呼叫系统等。</w:t>
      </w:r>
    </w:p>
    <w:p w14:paraId="032AF1D9">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（三）服务质量考核</w:t>
      </w:r>
    </w:p>
    <w:p w14:paraId="5D5F1346">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每月根据《曲江院区净化空调外包服务考核表》打分，以百分制计算。最终考核结果的等次划分为：95-100分：付当月服务费100％，；94分（含）及以下：每低1分，按当月服务费扣除0.5％，并限期整改；85-70分（含）：每低1分，按当月服务费扣除0.5％，约谈服务单位负责人；＜70分：暂停付款，启动合同终止流程。</w:t>
      </w:r>
    </w:p>
    <w:p w14:paraId="7D3916A4">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服务期限：</w:t>
      </w:r>
    </w:p>
    <w:p w14:paraId="7CBE1269">
      <w:pPr>
        <w:tabs>
          <w:tab w:val="left" w:pos="480"/>
        </w:tabs>
        <w:spacing w:line="360" w:lineRule="auto"/>
        <w:rPr>
          <w:rFonts w:hint="eastAsia" w:ascii="仿宋" w:hAnsi="仿宋" w:eastAsia="仿宋" w:cs="仿宋"/>
          <w:b w:val="0"/>
          <w:bCs/>
          <w:color w:val="auto"/>
          <w:sz w:val="24"/>
          <w:szCs w:val="24"/>
          <w:highlight w:val="none"/>
          <w:u w:val="single"/>
        </w:rPr>
      </w:pPr>
      <w:r>
        <w:rPr>
          <w:rFonts w:hint="eastAsia" w:ascii="仿宋" w:hAnsi="仿宋" w:eastAsia="仿宋" w:cs="仿宋"/>
          <w:b w:val="0"/>
          <w:bCs/>
          <w:color w:val="auto"/>
          <w:sz w:val="24"/>
          <w:szCs w:val="24"/>
          <w:highlight w:val="none"/>
          <w:u w:val="single"/>
        </w:rPr>
        <w:t>计划服务期三年，合同根据考核情况一年一签</w:t>
      </w:r>
      <w:r>
        <w:rPr>
          <w:rFonts w:hint="eastAsia" w:ascii="仿宋" w:hAnsi="仿宋" w:eastAsia="仿宋" w:cs="仿宋"/>
          <w:b w:val="0"/>
          <w:bCs/>
          <w:color w:val="auto"/>
          <w:sz w:val="24"/>
          <w:szCs w:val="24"/>
          <w:highlight w:val="none"/>
          <w:u w:val="single"/>
          <w:lang w:eastAsia="zh-CN"/>
        </w:rPr>
        <w:t>。</w:t>
      </w:r>
      <w:r>
        <w:rPr>
          <w:rFonts w:hint="eastAsia" w:ascii="仿宋" w:hAnsi="仿宋" w:eastAsia="仿宋" w:cs="仿宋"/>
          <w:b w:val="0"/>
          <w:bCs/>
          <w:color w:val="auto"/>
          <w:sz w:val="24"/>
          <w:szCs w:val="24"/>
          <w:highlight w:val="none"/>
          <w:u w:val="single"/>
          <w:lang w:val="en-US" w:eastAsia="zh-CN"/>
        </w:rPr>
        <w:t>本次为第一年度合同，服务期限为2025年*月*日止2026年 *月* 日</w:t>
      </w:r>
    </w:p>
    <w:p w14:paraId="1FCA835D">
      <w:pPr>
        <w:tabs>
          <w:tab w:val="left" w:pos="480"/>
        </w:tabs>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 xml:space="preserve"> </w:t>
      </w:r>
      <w:bookmarkStart w:id="1" w:name="_Toc11704"/>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、合同价款</w:t>
      </w:r>
      <w:r>
        <w:rPr>
          <w:rFonts w:hint="eastAsia" w:ascii="仿宋" w:hAnsi="仿宋" w:eastAsia="仿宋" w:cs="仿宋"/>
          <w:b/>
          <w:color w:val="auto"/>
          <w:sz w:val="24"/>
          <w:szCs w:val="24"/>
          <w:highlight w:val="none"/>
          <w:lang w:val="en-US" w:eastAsia="zh-CN"/>
        </w:rPr>
        <w:t>及支付方式</w:t>
      </w:r>
      <w:bookmarkEnd w:id="1"/>
    </w:p>
    <w:p w14:paraId="728BDDA5">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合同总价款为（大写）人民币</w:t>
      </w:r>
      <w:r>
        <w:rPr>
          <w:rFonts w:hint="eastAsia" w:ascii="仿宋" w:hAnsi="仿宋" w:eastAsia="仿宋" w:cs="仿宋"/>
          <w:b w:val="0"/>
          <w:color w:val="auto"/>
          <w:spacing w:val="0"/>
          <w:w w:val="100"/>
          <w:kern w:val="0"/>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b w:val="0"/>
          <w:color w:val="auto"/>
          <w:spacing w:val="0"/>
          <w:w w:val="100"/>
          <w:kern w:val="0"/>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60B8696">
      <w:pPr>
        <w:pStyle w:val="11"/>
        <w:keepNext w:val="0"/>
        <w:keepLines w:val="0"/>
        <w:pageBreakBefore w:val="0"/>
        <w:widowControl w:val="0"/>
        <w:kinsoku/>
        <w:wordWrap/>
        <w:overflowPunct w:val="0"/>
        <w:topLinePunct w:val="0"/>
        <w:autoSpaceDE/>
        <w:autoSpaceDN/>
        <w:bidi w:val="0"/>
        <w:adjustRightInd/>
        <w:snapToGrid/>
        <w:spacing w:line="460" w:lineRule="exact"/>
        <w:textAlignment w:val="auto"/>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sz w:val="24"/>
          <w:szCs w:val="24"/>
          <w:highlight w:val="none"/>
        </w:rPr>
        <w:t>（二）合同总价包括：完成维保工作内容所需的基本工资、绩效工资、福利、社</w:t>
      </w:r>
      <w:r>
        <w:rPr>
          <w:rFonts w:hint="eastAsia" w:ascii="仿宋" w:hAnsi="仿宋" w:eastAsia="仿宋" w:cs="仿宋"/>
          <w:color w:val="auto"/>
          <w:sz w:val="24"/>
          <w:szCs w:val="24"/>
          <w:highlight w:val="none"/>
          <w:lang w:val="en-US" w:eastAsia="zh-CN"/>
        </w:rPr>
        <w:t>会保险费用、培训、服装、办公费用、利润、税金、政策性文件规定的费用、检测费用</w:t>
      </w:r>
      <w:r>
        <w:rPr>
          <w:rFonts w:ascii="仿宋" w:hAnsi="仿宋" w:eastAsia="仿宋" w:cs="仿宋"/>
          <w:color w:val="auto"/>
          <w:kern w:val="2"/>
          <w:sz w:val="24"/>
          <w:szCs w:val="24"/>
          <w:lang w:eastAsia="zh-CN"/>
        </w:rPr>
        <w:t>完成维保工作内容所需的基本工资、绩效工资、福利、社会保险费用、培训、服装、办公费用、利润、税金、政策性文件规定的费用、检测费用（日</w:t>
      </w:r>
      <w:r>
        <w:rPr>
          <w:rFonts w:ascii="仿宋" w:hAnsi="仿宋" w:eastAsia="仿宋" w:cs="仿宋"/>
          <w:color w:val="auto"/>
          <w:sz w:val="24"/>
          <w:szCs w:val="24"/>
          <w:lang w:eastAsia="zh-CN"/>
        </w:rPr>
        <w:t>常免费维修清单-管材</w:t>
      </w:r>
      <w:r>
        <w:rPr>
          <w:rFonts w:hint="eastAsia" w:ascii="仿宋" w:hAnsi="仿宋" w:eastAsia="仿宋" w:cs="仿宋"/>
          <w:color w:val="auto"/>
          <w:sz w:val="24"/>
          <w:szCs w:val="24"/>
          <w:lang w:val="en-US" w:eastAsia="zh-CN"/>
        </w:rPr>
        <w:t>甲方</w:t>
      </w:r>
      <w:r>
        <w:rPr>
          <w:rFonts w:ascii="仿宋" w:hAnsi="仿宋" w:eastAsia="仿宋" w:cs="仿宋"/>
          <w:color w:val="auto"/>
          <w:sz w:val="24"/>
          <w:szCs w:val="24"/>
          <w:lang w:eastAsia="zh-CN"/>
        </w:rPr>
        <w:t>储备。其他材料、备件，乙方必须建立并严格执行设备的运行安全操作规程。在正常维保的前提下，如设备故障需要维修，设备零配件单次或单个零配件价值1000元以内(含1000元)的</w:t>
      </w:r>
      <w:r>
        <w:rPr>
          <w:rFonts w:hint="eastAsia" w:ascii="仿宋" w:hAnsi="仿宋" w:eastAsia="仿宋" w:cs="仿宋"/>
          <w:color w:val="auto"/>
          <w:sz w:val="24"/>
          <w:szCs w:val="24"/>
          <w:lang w:eastAsia="zh-CN"/>
        </w:rPr>
        <w:t>配件更换及维修费用</w:t>
      </w:r>
      <w:r>
        <w:rPr>
          <w:rFonts w:ascii="仿宋" w:hAnsi="仿宋" w:eastAsia="仿宋" w:cs="仿宋"/>
          <w:color w:val="auto"/>
          <w:sz w:val="24"/>
          <w:szCs w:val="24"/>
          <w:lang w:eastAsia="zh-CN"/>
        </w:rPr>
        <w:t>由乙方承担，乙方提出可行方案，甲方审核并同意后进行实施;设备零配件单次或单个零配件价值1000元以上的，由乙方提出可行方案及费用，书面报告甲方，甲方组织市场</w:t>
      </w:r>
      <w:r>
        <w:rPr>
          <w:rFonts w:hint="eastAsia" w:ascii="仿宋" w:hAnsi="仿宋" w:eastAsia="仿宋" w:cs="仿宋"/>
          <w:color w:val="auto"/>
          <w:sz w:val="24"/>
          <w:szCs w:val="24"/>
          <w:lang w:val="en-US" w:eastAsia="zh-CN"/>
        </w:rPr>
        <w:t>调查</w:t>
      </w:r>
      <w:r>
        <w:rPr>
          <w:rFonts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乙</w:t>
      </w:r>
      <w:r>
        <w:rPr>
          <w:rFonts w:ascii="仿宋" w:hAnsi="仿宋" w:eastAsia="仿宋" w:cs="仿宋"/>
          <w:color w:val="auto"/>
          <w:sz w:val="24"/>
          <w:szCs w:val="24"/>
          <w:lang w:eastAsia="zh-CN"/>
        </w:rPr>
        <w:t>方</w:t>
      </w:r>
      <w:r>
        <w:rPr>
          <w:rFonts w:hint="eastAsia" w:ascii="仿宋" w:hAnsi="仿宋" w:eastAsia="仿宋" w:cs="仿宋"/>
          <w:color w:val="auto"/>
          <w:sz w:val="24"/>
          <w:szCs w:val="24"/>
          <w:lang w:val="en-US" w:eastAsia="zh-CN"/>
        </w:rPr>
        <w:t>所报</w:t>
      </w:r>
      <w:r>
        <w:rPr>
          <w:rFonts w:ascii="仿宋" w:hAnsi="仿宋" w:eastAsia="仿宋" w:cs="仿宋"/>
          <w:color w:val="auto"/>
          <w:sz w:val="24"/>
          <w:szCs w:val="24"/>
          <w:lang w:eastAsia="zh-CN"/>
        </w:rPr>
        <w:t>零配件费用不得高出市场价，由</w:t>
      </w:r>
      <w:r>
        <w:rPr>
          <w:rFonts w:hint="eastAsia" w:ascii="仿宋" w:hAnsi="仿宋" w:eastAsia="仿宋" w:cs="仿宋"/>
          <w:color w:val="auto"/>
          <w:sz w:val="24"/>
          <w:szCs w:val="24"/>
          <w:lang w:val="en-US" w:eastAsia="zh-CN"/>
        </w:rPr>
        <w:t>甲</w:t>
      </w:r>
      <w:r>
        <w:rPr>
          <w:rFonts w:ascii="仿宋" w:hAnsi="仿宋" w:eastAsia="仿宋" w:cs="仿宋"/>
          <w:color w:val="auto"/>
          <w:sz w:val="24"/>
          <w:szCs w:val="24"/>
          <w:lang w:eastAsia="zh-CN"/>
        </w:rPr>
        <w:t>方负责</w:t>
      </w:r>
      <w:r>
        <w:rPr>
          <w:rFonts w:hint="eastAsia" w:ascii="仿宋" w:hAnsi="仿宋" w:eastAsia="仿宋" w:cs="仿宋"/>
          <w:color w:val="auto"/>
          <w:sz w:val="24"/>
          <w:szCs w:val="24"/>
          <w:lang w:val="en-US" w:eastAsia="zh-CN"/>
        </w:rPr>
        <w:t>采购，乙方</w:t>
      </w:r>
      <w:r>
        <w:rPr>
          <w:rFonts w:ascii="仿宋" w:hAnsi="仿宋" w:eastAsia="仿宋" w:cs="仿宋"/>
          <w:color w:val="auto"/>
          <w:sz w:val="24"/>
          <w:szCs w:val="24"/>
          <w:lang w:eastAsia="zh-CN"/>
        </w:rPr>
        <w:t>更换维修</w:t>
      </w:r>
      <w:r>
        <w:rPr>
          <w:rFonts w:hint="eastAsia" w:ascii="仿宋" w:hAnsi="仿宋" w:eastAsia="仿宋" w:cs="仿宋"/>
          <w:color w:val="auto"/>
          <w:sz w:val="24"/>
          <w:szCs w:val="24"/>
          <w:lang w:eastAsia="zh-CN"/>
        </w:rPr>
        <w:t>，</w:t>
      </w:r>
      <w:r>
        <w:rPr>
          <w:rFonts w:ascii="仿宋" w:hAnsi="仿宋" w:eastAsia="仿宋" w:cs="仿宋"/>
          <w:color w:val="auto"/>
          <w:sz w:val="24"/>
          <w:szCs w:val="24"/>
          <w:lang w:eastAsia="zh-CN"/>
        </w:rPr>
        <w:t>只计算配件材料费，人工费不予计算。</w:t>
      </w:r>
    </w:p>
    <w:p w14:paraId="5F06EA26">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（三）合同总价一次性包死，不受市场价格变化因素的影响。</w:t>
      </w:r>
    </w:p>
    <w:p w14:paraId="421F8083">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支付方式：银行转账，按月支付，每月考核，根据考核情况支付月服务费用，每次付款前，供应商开具符合税法规定的等额正规发票，提交当月工作总结及次月工作计划，采购人以银行转账的方式向供应商支付相应金额的服务费。</w:t>
      </w:r>
    </w:p>
    <w:p w14:paraId="16125723">
      <w:pPr>
        <w:tabs>
          <w:tab w:val="left" w:pos="480"/>
        </w:tabs>
        <w:spacing w:line="360" w:lineRule="auto"/>
        <w:rPr>
          <w:rFonts w:hint="eastAsia" w:ascii="仿宋" w:hAnsi="仿宋" w:eastAsia="仿宋" w:cs="仿宋"/>
          <w:b/>
          <w:color w:val="auto"/>
          <w:sz w:val="24"/>
          <w:szCs w:val="24"/>
          <w:highlight w:val="none"/>
          <w:lang w:val="en-US" w:eastAsia="zh-CN"/>
        </w:rPr>
      </w:pPr>
      <w:bookmarkStart w:id="2" w:name="_Toc30678"/>
      <w:r>
        <w:rPr>
          <w:rFonts w:hint="eastAsia" w:ascii="仿宋" w:hAnsi="仿宋" w:eastAsia="仿宋" w:cs="仿宋"/>
          <w:b/>
          <w:color w:val="auto"/>
          <w:sz w:val="24"/>
          <w:szCs w:val="24"/>
          <w:highlight w:val="none"/>
          <w:lang w:val="en-US" w:eastAsia="zh-CN"/>
        </w:rPr>
        <w:t>四、双方的权利和义务</w:t>
      </w:r>
      <w:bookmarkEnd w:id="2"/>
    </w:p>
    <w:p w14:paraId="35D36A7C">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（一）甲方的权利和义务</w:t>
      </w:r>
    </w:p>
    <w:p w14:paraId="0D724534">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有权依据合同约定及采购文件要求对乙方的服务项目进行月、季、年度考核：有关部门每月对后勤服务考核评定，考核方法按《曲江院区净化空调外包服务考核表》执行。如因乙方管理不善未能达到有关议定的服务质量指标，甲方应以书面通知书方式通知乙方，乙方于收到通知后7日内整改，若乙方未能按时整改或是整改达不到甲方预期的效果，甲方可按照《曲江院区净化空调外包服务考核表》进行惩罚。</w:t>
      </w:r>
    </w:p>
    <w:p w14:paraId="7BAAD2B6">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2、乙方的年度管理计划需经甲方审议通过。否则，由此造成的一切后果由乙方自行承担。</w:t>
      </w:r>
    </w:p>
    <w:p w14:paraId="2FBBD1BA">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3、合同执行期间甲方对乙方工作人员不承担安全管理责任。乙方工作人员因履行本合同向甲方主张任何权利的，乙方负责解决，与甲方无关，甲方由此产生任何损失由乙方承担。</w:t>
      </w:r>
    </w:p>
    <w:p w14:paraId="674E933A">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4、甲方在本合同生效之日起十个工作日内向乙方提供服务项目相关档案资料，并在乙方服务期满后予以收回。</w:t>
      </w:r>
    </w:p>
    <w:p w14:paraId="6364F777">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5、甲方有权向乙方提出具体问题的意见和建议。</w:t>
      </w:r>
    </w:p>
    <w:p w14:paraId="0644FF40">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6、甲方有义务向乙方提供办公场所。</w:t>
      </w:r>
    </w:p>
    <w:p w14:paraId="2B078AA3">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7、如甲方认定乙方人员不按合同履行其职责，甲方有权要求乙方更换相关管理人员，且乙方应在五个工作日内更换相关人员。否则，乙方应承担由此给甲方造成的全部损失，并按当月服务费的10%支付违约金。</w:t>
      </w:r>
    </w:p>
    <w:p w14:paraId="52B76615">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（二）乙方权利和义务</w:t>
      </w:r>
    </w:p>
    <w:p w14:paraId="77B1CD5E">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1.根据有关法律、法规及本合同的约定，制订各项服务管理办法及实施细则，并报甲方审核通过之后，方可开展各项管理活动。</w:t>
      </w:r>
    </w:p>
    <w:p w14:paraId="7B141E38">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工作人员应自觉遵守甲方各项规章制度否则，每发现一次，扣除乙方当月服务费用的3%；2个月内累计发现5次的，视乙方根本违约，甲方有权解除合同（合同自书面解除通知到达乙方之日起解除），并按本合同第五条第（二）款之约定承担违约责任。</w:t>
      </w:r>
    </w:p>
    <w:p w14:paraId="6AD32620">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3.因乙方原因给甲方造成损失，乙方应向甲方承担全部赔偿责任。</w:t>
      </w:r>
    </w:p>
    <w:p w14:paraId="7BBE6927">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4.乙方的机构设置及人员配备、调整应提前7日与甲方协商，并得到甲方的</w:t>
      </w:r>
    </w:p>
    <w:p w14:paraId="3EF01CAB">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书面认可后方可实施。否则，由此造成的一切后果由乙方自行承担。</w:t>
      </w:r>
    </w:p>
    <w:p w14:paraId="1BA7DEBA">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5.乙方提供所有维修及运行使用的工具。</w:t>
      </w:r>
    </w:p>
    <w:p w14:paraId="0A46A7AA">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6.乙方提供24小时后勤保障服务工作。</w:t>
      </w:r>
    </w:p>
    <w:p w14:paraId="5E291860">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7.乙方接受甲方主管部门及医院相关部门的监督。</w:t>
      </w:r>
    </w:p>
    <w:p w14:paraId="3F5E9FFB">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8.乙方应当严格保守甲方的商业秘密，不得向第三方透露相关信息，若因乙方泄露信息导致甲方损失，乙方承担全部责任，并双倍赔偿损失。</w:t>
      </w:r>
    </w:p>
    <w:p w14:paraId="60F6C45A">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9.乙方的工作人员在服务过程中发生的人身损害或经济损失，由乙方负责；乙方与第三方发生纠纷，均与甲方无关，甲方因此受到任何损失的，由乙方负责全额赔偿。</w:t>
      </w:r>
    </w:p>
    <w:p w14:paraId="1148D263">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乙方必须与委派或更换到甲方服务的工作人员签订劳动合同，并依法为工作人员缴纳相应的社会保险，同时必须将相应的合同文本及足额缴纳的各项社会保险的凭证加盖乙方公章如实在甲方处备案。乙方委派或更换到甲方服务的工作人员工资、福利由乙方足额支付，如存在拖欠工资或福利的情形，乙方应及时协商解决，如协商不成，甲方有权拒绝向乙方支付相应服务费。</w:t>
      </w:r>
    </w:p>
    <w:p w14:paraId="59607221">
      <w:pPr>
        <w:pStyle w:val="11"/>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甲方与乙方委派或更换到甲方服务的工作人员之间不能存在任何劳动关系，若乙方服务人员因劳动争议等与乙方发生任何纠纷的，由乙方负责解决，与甲方无关。若因此给甲方造成任何损失的，由乙方负责全额赔</w:t>
      </w:r>
      <w:r>
        <w:rPr>
          <w:rFonts w:hint="eastAsia" w:ascii="仿宋" w:hAnsi="仿宋" w:eastAsia="仿宋" w:cs="仿宋"/>
          <w:color w:val="auto"/>
          <w:sz w:val="24"/>
          <w:szCs w:val="24"/>
          <w:highlight w:val="none"/>
        </w:rPr>
        <w:t>偿。</w:t>
      </w:r>
    </w:p>
    <w:p w14:paraId="04F6CBCA">
      <w:pPr>
        <w:tabs>
          <w:tab w:val="left" w:pos="480"/>
        </w:tabs>
        <w:spacing w:line="360" w:lineRule="auto"/>
        <w:rPr>
          <w:rFonts w:hint="eastAsia" w:ascii="仿宋" w:hAnsi="仿宋" w:eastAsia="仿宋" w:cs="仿宋"/>
          <w:b/>
          <w:color w:val="auto"/>
          <w:sz w:val="24"/>
          <w:szCs w:val="24"/>
          <w:highlight w:val="none"/>
          <w:lang w:val="en-US" w:eastAsia="zh-CN"/>
        </w:rPr>
      </w:pPr>
      <w:bookmarkStart w:id="3" w:name="_Toc2644"/>
      <w:r>
        <w:rPr>
          <w:rFonts w:hint="eastAsia" w:ascii="仿宋" w:hAnsi="仿宋" w:eastAsia="仿宋" w:cs="仿宋"/>
          <w:b/>
          <w:color w:val="auto"/>
          <w:sz w:val="24"/>
          <w:szCs w:val="24"/>
          <w:highlight w:val="none"/>
          <w:lang w:val="en-US" w:eastAsia="zh-CN"/>
        </w:rPr>
        <w:t>五 、违约责任</w:t>
      </w:r>
      <w:bookmarkEnd w:id="3"/>
    </w:p>
    <w:p w14:paraId="42892881">
      <w:pPr>
        <w:tabs>
          <w:tab w:val="left" w:pos="480"/>
        </w:tabs>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（一）双方按《中华人民共和国民法典》中的相关条款执行。</w:t>
      </w:r>
    </w:p>
    <w:p w14:paraId="350C127A">
      <w:pPr>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二）因乙方原因未能完成管理目标，甲方有权要求乙方限期整改，如在10日内未能达标，甲方书面通知乙方终止合同，合同自书面解除通知书送达乙方之日起解除，因此给甲方造成的损失，乙方应全额赔偿。并按照合同总金额的3%追究乙方违约责任。</w:t>
      </w:r>
    </w:p>
    <w:p w14:paraId="23DD8CA3">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三）因乙方原因对甲方房屋建筑、设施设备造成损坏，乙方承担全部赔偿责任并进行善后处理；乙方对甲方设施不得擅自占用和改变使用功能，否则甲方有权要求其恢复原状并赔偿相应损失。乙方应在接到甲方通知后5日恢复原状并赔偿甲方损失。如乙方拒绝或怠于恢复原状的，甲方有权指定第三方予以恢复原状，所有费用均由乙方承担。</w:t>
      </w:r>
    </w:p>
    <w:p w14:paraId="660C0187">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（四）甲乙双方发生争议，乙方应在继续保证甲方设备正常运转的基础上，协商解决，在发生争议期间乙方不按合同要求提供服务，造成的损失由乙方全额赔偿。</w:t>
      </w:r>
    </w:p>
    <w:p w14:paraId="696B4E38">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（五）乙方原因造成的合同终止,在甲方按程序取得第三方服务之前，乙方继续按合同标准提供服务，否则造成一切损失由乙方承担。</w:t>
      </w:r>
    </w:p>
    <w:p w14:paraId="22D6E5D6">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六）乙方在履行合同过程中遇相关检查，有转包合同的行为，甲方有权终止合同，合同自书面解除通知送达乙方之日起解除。在甲方按程序取得第三方服务之前，乙方继续按合同标准提供服务，否则造成一切损失由乙方承担。</w:t>
      </w:r>
    </w:p>
    <w:p w14:paraId="0355D3FC">
      <w:pPr>
        <w:shd w:val="clear" w:fill="FFFFFF" w:themeFill="background1"/>
        <w:spacing w:line="360" w:lineRule="auto"/>
        <w:rPr>
          <w:rFonts w:hint="eastAsia"/>
          <w:color w:val="auto"/>
          <w:highlight w:val="none"/>
          <w:lang w:val="en-US" w:eastAsia="zh-CN"/>
        </w:rPr>
      </w:pPr>
      <w:r>
        <w:rPr>
          <w:rFonts w:hint="eastAsia" w:ascii="仿宋" w:hAnsi="仿宋" w:eastAsia="仿宋" w:cs="仿宋"/>
          <w:color w:val="auto"/>
          <w:kern w:val="0"/>
          <w:sz w:val="24"/>
          <w:szCs w:val="24"/>
          <w:highlight w:val="none"/>
          <w:lang w:val="en-US" w:eastAsia="zh-CN"/>
        </w:rPr>
        <w:t>（七）合同期内服务公司及服务人员均为乙方直接所属，乙方不得采用挂靠或外包方式再次委托其他单位承担此项目。如甲方发现有违约情形，可直接终止合同执行，违约责任由乙方全部承担。</w:t>
      </w:r>
    </w:p>
    <w:p w14:paraId="5512EDD7">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 合同争议解决的方式</w:t>
      </w:r>
    </w:p>
    <w:p w14:paraId="16A73613">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本合同在履行过程中发生的争议，由甲、乙双方当事人协商解决，协商不成任一方有权向甲方所在地人民法院提起诉讼。</w:t>
      </w:r>
    </w:p>
    <w:p w14:paraId="15DD17C7">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 xml:space="preserve"> 合同生效</w:t>
      </w:r>
    </w:p>
    <w:p w14:paraId="3F72EE50">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rPr>
        <w:t>本合同甲、乙双方法定代表人签字或盖章并加盖公章后生效。（含附件）一式伍份，甲方执叁份，乙方执贰份。</w:t>
      </w:r>
      <w:r>
        <w:rPr>
          <w:rFonts w:hint="eastAsia" w:ascii="仿宋" w:hAnsi="仿宋" w:eastAsia="仿宋" w:cs="仿宋"/>
          <w:color w:val="auto"/>
          <w:kern w:val="0"/>
          <w:sz w:val="24"/>
          <w:szCs w:val="24"/>
          <w:highlight w:val="none"/>
          <w:lang w:val="en-US" w:eastAsia="zh-CN"/>
        </w:rPr>
        <w:t>合同执行完毕后，自动终止（合同的服务承诺则长期有效）。</w:t>
      </w:r>
    </w:p>
    <w:p w14:paraId="07D131C7">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 xml:space="preserve"> 其他事项</w:t>
      </w:r>
    </w:p>
    <w:p w14:paraId="2785AF3C">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（一）采购文件、响应文件、合同附件均为合同不可分割的部分。</w:t>
      </w:r>
    </w:p>
    <w:p w14:paraId="3D323653">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（二）合同未尽事宜，由甲、乙双方协商，作为合同补充，与原合同具有同等法律效力。补充合同与本合同约定不一致的，以补充合同为准。</w:t>
      </w:r>
    </w:p>
    <w:p w14:paraId="58EF0B2D">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（三）合同一经签订，不得擅自变更、中止或终止合同。对确需变更、调整或中止、终止合同的，应按规定履行相应的手续。</w:t>
      </w:r>
    </w:p>
    <w:p w14:paraId="57555CD5">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（四）本合同按照中华人民共和国的现行法律进行解释。</w:t>
      </w:r>
    </w:p>
    <w:p w14:paraId="1FE984A8">
      <w:pP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tbl>
      <w:tblPr>
        <w:tblStyle w:val="7"/>
        <w:tblW w:w="97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60"/>
        <w:gridCol w:w="4665"/>
      </w:tblGrid>
      <w:tr w14:paraId="7E20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5060" w:type="dxa"/>
            <w:noWrap w:val="0"/>
            <w:vAlign w:val="center"/>
          </w:tcPr>
          <w:p w14:paraId="3DB882CD">
            <w:pPr>
              <w:autoSpaceDE w:val="0"/>
              <w:autoSpaceDN w:val="0"/>
              <w:adjustRightInd w:val="0"/>
              <w:jc w:val="both"/>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甲  方</w:t>
            </w:r>
          </w:p>
        </w:tc>
        <w:tc>
          <w:tcPr>
            <w:tcW w:w="4665" w:type="dxa"/>
            <w:noWrap w:val="0"/>
            <w:vAlign w:val="center"/>
          </w:tcPr>
          <w:p w14:paraId="50AA7C1F">
            <w:pPr>
              <w:autoSpaceDE w:val="0"/>
              <w:autoSpaceDN w:val="0"/>
              <w:adjustRightInd w:val="0"/>
              <w:jc w:val="both"/>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乙  方</w:t>
            </w:r>
          </w:p>
        </w:tc>
      </w:tr>
      <w:tr w14:paraId="199CA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5060" w:type="dxa"/>
            <w:noWrap w:val="0"/>
            <w:vAlign w:val="center"/>
          </w:tcPr>
          <w:p w14:paraId="0D57FB06">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西北妇女儿童医院</w:t>
            </w:r>
            <w:r>
              <w:rPr>
                <w:rFonts w:hint="eastAsia" w:ascii="仿宋" w:hAnsi="仿宋" w:eastAsia="仿宋" w:cs="仿宋"/>
                <w:color w:val="auto"/>
                <w:sz w:val="24"/>
                <w:szCs w:val="24"/>
                <w:highlight w:val="none"/>
              </w:rPr>
              <w:t>（盖章）</w:t>
            </w:r>
          </w:p>
        </w:tc>
        <w:tc>
          <w:tcPr>
            <w:tcW w:w="4665" w:type="dxa"/>
            <w:noWrap w:val="0"/>
            <w:vAlign w:val="center"/>
          </w:tcPr>
          <w:p w14:paraId="60E17BD9">
            <w:pPr>
              <w:autoSpaceDE w:val="0"/>
              <w:autoSpaceDN w:val="0"/>
              <w:adjustRightInd w:val="0"/>
              <w:jc w:val="left"/>
              <w:rPr>
                <w:rFonts w:hint="eastAsia" w:ascii="仿宋" w:hAnsi="仿宋" w:eastAsia="仿宋" w:cs="仿宋"/>
                <w:color w:val="auto"/>
                <w:sz w:val="24"/>
                <w:szCs w:val="24"/>
                <w:highlight w:val="none"/>
              </w:rPr>
            </w:pPr>
            <w:r>
              <w:rPr>
                <w:rFonts w:hint="eastAsia" w:ascii="仿宋" w:hAnsi="仿宋" w:eastAsia="仿宋" w:cs="仿宋"/>
                <w:b w:val="0"/>
                <w:color w:val="auto"/>
                <w:spacing w:val="0"/>
                <w:w w:val="100"/>
                <w:sz w:val="24"/>
                <w:szCs w:val="24"/>
                <w:highlight w:val="none"/>
                <w:lang w:val="en-US" w:eastAsia="zh-CN"/>
              </w:rPr>
              <w:t xml:space="preserve"> </w:t>
            </w:r>
            <w:r>
              <w:rPr>
                <w:rFonts w:hint="eastAsia" w:ascii="仿宋" w:hAnsi="仿宋" w:eastAsia="仿宋" w:cs="仿宋"/>
                <w:color w:val="auto"/>
                <w:sz w:val="24"/>
                <w:szCs w:val="24"/>
                <w:highlight w:val="none"/>
              </w:rPr>
              <w:t>（盖章）</w:t>
            </w:r>
          </w:p>
        </w:tc>
      </w:tr>
      <w:tr w14:paraId="7F270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5060" w:type="dxa"/>
            <w:noWrap w:val="0"/>
            <w:vAlign w:val="center"/>
          </w:tcPr>
          <w:p w14:paraId="6BCFB490">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地址：</w:t>
            </w:r>
          </w:p>
        </w:tc>
        <w:tc>
          <w:tcPr>
            <w:tcW w:w="4665" w:type="dxa"/>
            <w:noWrap w:val="0"/>
            <w:vAlign w:val="center"/>
          </w:tcPr>
          <w:p w14:paraId="617CB7EF">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仿宋" w:hAnsi="仿宋" w:eastAsia="仿宋" w:cs="仿宋"/>
                <w:b w:val="0"/>
                <w:bCs/>
                <w:color w:val="auto"/>
                <w:spacing w:val="0"/>
                <w:w w:val="100"/>
                <w:kern w:val="0"/>
                <w:sz w:val="24"/>
                <w:szCs w:val="24"/>
                <w:highlight w:val="none"/>
                <w:lang w:val="en-US" w:eastAsia="zh-CN" w:bidi="ar-SA"/>
              </w:rPr>
            </w:pPr>
            <w:r>
              <w:rPr>
                <w:rFonts w:hint="eastAsia" w:ascii="仿宋" w:hAnsi="仿宋" w:eastAsia="仿宋" w:cs="仿宋"/>
                <w:color w:val="auto"/>
                <w:spacing w:val="-20"/>
                <w:sz w:val="24"/>
                <w:szCs w:val="24"/>
                <w:highlight w:val="none"/>
              </w:rPr>
              <w:t>地址：</w:t>
            </w:r>
            <w:r>
              <w:rPr>
                <w:rFonts w:hint="eastAsia" w:ascii="仿宋" w:hAnsi="仿宋" w:eastAsia="仿宋" w:cs="仿宋"/>
                <w:b w:val="0"/>
                <w:bCs/>
                <w:color w:val="auto"/>
                <w:spacing w:val="0"/>
                <w:w w:val="100"/>
                <w:kern w:val="0"/>
                <w:sz w:val="24"/>
                <w:szCs w:val="24"/>
                <w:highlight w:val="none"/>
                <w:lang w:val="en-US" w:eastAsia="zh-CN" w:bidi="ar-SA"/>
              </w:rPr>
              <w:t xml:space="preserve"> </w:t>
            </w:r>
          </w:p>
          <w:p w14:paraId="1C136681">
            <w:pPr>
              <w:autoSpaceDE w:val="0"/>
              <w:autoSpaceDN w:val="0"/>
              <w:adjustRightInd w:val="0"/>
              <w:ind w:left="720" w:hanging="600" w:hangingChars="300"/>
              <w:jc w:val="left"/>
              <w:rPr>
                <w:rFonts w:hint="eastAsia" w:ascii="仿宋" w:hAnsi="仿宋" w:eastAsia="仿宋" w:cs="仿宋"/>
                <w:color w:val="auto"/>
                <w:spacing w:val="-20"/>
                <w:sz w:val="24"/>
                <w:szCs w:val="24"/>
                <w:highlight w:val="none"/>
              </w:rPr>
            </w:pPr>
          </w:p>
        </w:tc>
      </w:tr>
      <w:tr w14:paraId="29702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42EE66D0">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w:t>
            </w:r>
          </w:p>
        </w:tc>
        <w:tc>
          <w:tcPr>
            <w:tcW w:w="4665" w:type="dxa"/>
            <w:noWrap w:val="0"/>
            <w:vAlign w:val="center"/>
          </w:tcPr>
          <w:p w14:paraId="61F51006">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w:t>
            </w:r>
          </w:p>
        </w:tc>
      </w:tr>
      <w:tr w14:paraId="40BA6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69AFE4F2">
            <w:pPr>
              <w:autoSpaceDE w:val="0"/>
              <w:autoSpaceDN w:val="0"/>
              <w:adjustRightInd w:val="0"/>
              <w:jc w:val="left"/>
              <w:rPr>
                <w:rFonts w:hint="eastAsia" w:ascii="仿宋" w:hAnsi="仿宋" w:eastAsia="仿宋" w:cs="仿宋"/>
                <w:color w:val="auto"/>
                <w:spacing w:val="-20"/>
                <w:sz w:val="24"/>
                <w:szCs w:val="24"/>
                <w:highlight w:val="none"/>
                <w:lang w:val="en-US" w:eastAsia="zh-CN"/>
              </w:rPr>
            </w:pPr>
            <w:r>
              <w:rPr>
                <w:rFonts w:hint="eastAsia" w:ascii="仿宋" w:hAnsi="仿宋" w:eastAsia="仿宋" w:cs="仿宋"/>
                <w:color w:val="auto"/>
                <w:spacing w:val="-20"/>
                <w:sz w:val="24"/>
                <w:szCs w:val="24"/>
                <w:highlight w:val="none"/>
                <w:lang w:val="en-US" w:eastAsia="zh-CN"/>
              </w:rPr>
              <w:t>联系人：</w:t>
            </w:r>
          </w:p>
        </w:tc>
        <w:tc>
          <w:tcPr>
            <w:tcW w:w="4665" w:type="dxa"/>
            <w:noWrap w:val="0"/>
            <w:vAlign w:val="center"/>
          </w:tcPr>
          <w:p w14:paraId="07C04EC1">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lang w:val="en-US" w:eastAsia="zh-CN"/>
              </w:rPr>
              <w:t>联系人：</w:t>
            </w:r>
          </w:p>
        </w:tc>
      </w:tr>
      <w:tr w14:paraId="1C203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4994DDA6">
            <w:pPr>
              <w:autoSpaceDE w:val="0"/>
              <w:autoSpaceDN w:val="0"/>
              <w:adjustRightInd w:val="0"/>
              <w:jc w:val="left"/>
              <w:rPr>
                <w:rFonts w:hint="eastAsia" w:ascii="仿宋" w:hAnsi="仿宋" w:eastAsia="仿宋" w:cs="仿宋"/>
                <w:color w:val="auto"/>
                <w:spacing w:val="-20"/>
                <w:sz w:val="24"/>
                <w:szCs w:val="24"/>
                <w:highlight w:val="none"/>
                <w:lang w:val="en-US" w:eastAsia="zh-CN"/>
              </w:rPr>
            </w:pPr>
            <w:r>
              <w:rPr>
                <w:rFonts w:hint="eastAsia" w:ascii="仿宋" w:hAnsi="仿宋" w:eastAsia="仿宋" w:cs="仿宋"/>
                <w:color w:val="auto"/>
                <w:spacing w:val="-20"/>
                <w:sz w:val="24"/>
                <w:szCs w:val="24"/>
                <w:highlight w:val="none"/>
              </w:rPr>
              <w:t>电话：</w:t>
            </w:r>
          </w:p>
        </w:tc>
        <w:tc>
          <w:tcPr>
            <w:tcW w:w="4665" w:type="dxa"/>
            <w:noWrap w:val="0"/>
            <w:vAlign w:val="center"/>
          </w:tcPr>
          <w:p w14:paraId="73E52DDA">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r>
              <w:rPr>
                <w:rFonts w:hint="eastAsia" w:ascii="仿宋" w:hAnsi="仿宋" w:eastAsia="仿宋" w:cs="仿宋"/>
                <w:b w:val="0"/>
                <w:color w:val="auto"/>
                <w:spacing w:val="0"/>
                <w:w w:val="100"/>
                <w:kern w:val="0"/>
                <w:sz w:val="24"/>
                <w:szCs w:val="24"/>
                <w:highlight w:val="none"/>
                <w:lang w:val="en-US" w:eastAsia="zh-CN"/>
              </w:rPr>
              <w:t xml:space="preserve"> </w:t>
            </w:r>
          </w:p>
        </w:tc>
      </w:tr>
      <w:tr w14:paraId="6B839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28A79350">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c>
          <w:tcPr>
            <w:tcW w:w="4665" w:type="dxa"/>
            <w:noWrap w:val="0"/>
            <w:vAlign w:val="center"/>
          </w:tcPr>
          <w:p w14:paraId="6A1D62A5">
            <w:pPr>
              <w:autoSpaceDE w:val="0"/>
              <w:autoSpaceDN w:val="0"/>
              <w:adjustRightInd w:val="0"/>
              <w:jc w:val="left"/>
              <w:rPr>
                <w:rFonts w:hint="eastAsia" w:ascii="仿宋" w:hAnsi="仿宋" w:eastAsia="仿宋" w:cs="仿宋"/>
                <w:color w:val="auto"/>
                <w:spacing w:val="-20"/>
                <w:sz w:val="24"/>
                <w:szCs w:val="24"/>
                <w:highlight w:val="none"/>
                <w:lang w:eastAsia="zh-CN"/>
              </w:rPr>
            </w:pPr>
            <w:r>
              <w:rPr>
                <w:rFonts w:hint="eastAsia" w:ascii="仿宋" w:hAnsi="仿宋" w:eastAsia="仿宋" w:cs="仿宋"/>
                <w:color w:val="auto"/>
                <w:spacing w:val="-20"/>
                <w:sz w:val="24"/>
                <w:szCs w:val="24"/>
                <w:highlight w:val="none"/>
              </w:rPr>
              <w:t>开户银行：</w:t>
            </w:r>
            <w:r>
              <w:rPr>
                <w:rFonts w:hint="eastAsia" w:ascii="仿宋" w:hAnsi="仿宋" w:eastAsia="仿宋" w:cs="仿宋"/>
                <w:color w:val="auto"/>
                <w:spacing w:val="-20"/>
                <w:sz w:val="24"/>
                <w:szCs w:val="24"/>
                <w:highlight w:val="none"/>
                <w:lang w:val="en-US" w:eastAsia="zh-CN"/>
              </w:rPr>
              <w:t xml:space="preserve"> </w:t>
            </w:r>
          </w:p>
        </w:tc>
      </w:tr>
      <w:tr w14:paraId="4A013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42ED101B">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2"/>
                <w:highlight w:val="none"/>
                <w:lang w:eastAsia="zh-CN"/>
              </w:rPr>
              <w:t xml:space="preserve"> </w:t>
            </w:r>
          </w:p>
        </w:tc>
        <w:tc>
          <w:tcPr>
            <w:tcW w:w="4665" w:type="dxa"/>
            <w:noWrap w:val="0"/>
            <w:vAlign w:val="center"/>
          </w:tcPr>
          <w:p w14:paraId="41271B2C">
            <w:pPr>
              <w:autoSpaceDE w:val="0"/>
              <w:autoSpaceDN w:val="0"/>
              <w:adjustRightInd w:val="0"/>
              <w:jc w:val="left"/>
              <w:rPr>
                <w:rFonts w:hint="eastAsia" w:ascii="仿宋" w:hAnsi="仿宋" w:eastAsia="仿宋" w:cs="仿宋"/>
                <w:color w:val="auto"/>
                <w:spacing w:val="-20"/>
                <w:sz w:val="24"/>
                <w:szCs w:val="24"/>
                <w:highlight w:val="none"/>
                <w:lang w:val="en-US" w:eastAsia="zh-CN"/>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lang w:val="en-US" w:eastAsia="zh-CN"/>
              </w:rPr>
              <w:t xml:space="preserve"> </w:t>
            </w:r>
          </w:p>
        </w:tc>
      </w:tr>
      <w:tr w14:paraId="5FF6E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735B2743">
            <w:pPr>
              <w:autoSpaceDE w:val="0"/>
              <w:autoSpaceDN w:val="0"/>
              <w:adjustRightInd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纳锐人识别号： </w:t>
            </w:r>
          </w:p>
        </w:tc>
        <w:tc>
          <w:tcPr>
            <w:tcW w:w="4665" w:type="dxa"/>
            <w:noWrap w:val="0"/>
            <w:vAlign w:val="center"/>
          </w:tcPr>
          <w:p w14:paraId="3923D736">
            <w:pPr>
              <w:autoSpaceDE w:val="0"/>
              <w:autoSpaceDN w:val="0"/>
              <w:adjustRightInd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p>
        </w:tc>
      </w:tr>
      <w:tr w14:paraId="2B6E5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9725" w:type="dxa"/>
            <w:gridSpan w:val="2"/>
            <w:noWrap w:val="0"/>
            <w:vAlign w:val="center"/>
          </w:tcPr>
          <w:p w14:paraId="0A721B19">
            <w:pPr>
              <w:autoSpaceDE w:val="0"/>
              <w:autoSpaceDN w:val="0"/>
              <w:adjustRightInd w:val="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20"/>
                <w:sz w:val="24"/>
                <w:szCs w:val="24"/>
                <w:highlight w:val="none"/>
              </w:rPr>
              <w:t xml:space="preserve">日期：  </w:t>
            </w:r>
            <w:r>
              <w:rPr>
                <w:rFonts w:hint="eastAsia" w:ascii="仿宋" w:hAnsi="仿宋" w:eastAsia="仿宋" w:cs="仿宋"/>
                <w:color w:val="auto"/>
                <w:spacing w:val="-20"/>
                <w:sz w:val="24"/>
                <w:szCs w:val="24"/>
                <w:highlight w:val="none"/>
                <w:lang w:val="en-US" w:eastAsia="zh-CN"/>
              </w:rPr>
              <w:t xml:space="preserve">   </w:t>
            </w:r>
            <w:r>
              <w:rPr>
                <w:rFonts w:hint="eastAsia" w:ascii="仿宋" w:hAnsi="仿宋" w:eastAsia="仿宋" w:cs="仿宋"/>
                <w:color w:val="auto"/>
                <w:spacing w:val="-20"/>
                <w:sz w:val="24"/>
                <w:szCs w:val="24"/>
                <w:highlight w:val="none"/>
              </w:rPr>
              <w:t xml:space="preserve"> 年 </w:t>
            </w:r>
            <w:r>
              <w:rPr>
                <w:rFonts w:hint="eastAsia" w:ascii="仿宋" w:hAnsi="仿宋" w:eastAsia="仿宋" w:cs="仿宋"/>
                <w:color w:val="auto"/>
                <w:spacing w:val="-20"/>
                <w:sz w:val="24"/>
                <w:szCs w:val="24"/>
                <w:highlight w:val="none"/>
                <w:lang w:val="en-US" w:eastAsia="zh-CN"/>
              </w:rPr>
              <w:t xml:space="preserve"> </w:t>
            </w:r>
            <w:r>
              <w:rPr>
                <w:rFonts w:hint="eastAsia" w:ascii="仿宋" w:hAnsi="仿宋" w:eastAsia="仿宋" w:cs="仿宋"/>
                <w:color w:val="auto"/>
                <w:spacing w:val="-20"/>
                <w:sz w:val="24"/>
                <w:szCs w:val="24"/>
                <w:highlight w:val="none"/>
              </w:rPr>
              <w:t xml:space="preserve">  月  </w:t>
            </w:r>
            <w:r>
              <w:rPr>
                <w:rFonts w:hint="eastAsia" w:ascii="仿宋" w:hAnsi="仿宋" w:eastAsia="仿宋" w:cs="仿宋"/>
                <w:color w:val="auto"/>
                <w:spacing w:val="-20"/>
                <w:sz w:val="24"/>
                <w:szCs w:val="24"/>
                <w:highlight w:val="none"/>
                <w:lang w:val="en-US" w:eastAsia="zh-CN"/>
              </w:rPr>
              <w:t xml:space="preserve"> </w:t>
            </w:r>
            <w:r>
              <w:rPr>
                <w:rFonts w:hint="eastAsia" w:ascii="仿宋" w:hAnsi="仿宋" w:eastAsia="仿宋" w:cs="仿宋"/>
                <w:color w:val="auto"/>
                <w:spacing w:val="-20"/>
                <w:sz w:val="24"/>
                <w:szCs w:val="24"/>
                <w:highlight w:val="none"/>
              </w:rPr>
              <w:t xml:space="preserve"> 日</w:t>
            </w:r>
          </w:p>
        </w:tc>
      </w:tr>
      <w:tr w14:paraId="3B666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665" w:type="dxa"/>
          <w:trHeight w:val="756" w:hRule="atLeast"/>
          <w:jc w:val="center"/>
        </w:trPr>
        <w:tc>
          <w:tcPr>
            <w:tcW w:w="5060" w:type="dxa"/>
            <w:noWrap w:val="0"/>
            <w:vAlign w:val="center"/>
          </w:tcPr>
          <w:p w14:paraId="147ABFEE">
            <w:pPr>
              <w:autoSpaceDE w:val="0"/>
              <w:autoSpaceDN w:val="0"/>
              <w:adjustRightInd w:val="0"/>
              <w:jc w:val="center"/>
              <w:rPr>
                <w:rFonts w:hint="eastAsia" w:ascii="仿宋" w:hAnsi="仿宋" w:eastAsia="仿宋" w:cs="仿宋"/>
                <w:color w:val="auto"/>
                <w:spacing w:val="-20"/>
                <w:sz w:val="24"/>
                <w:szCs w:val="24"/>
                <w:highlight w:val="none"/>
              </w:rPr>
            </w:pPr>
          </w:p>
        </w:tc>
      </w:tr>
    </w:tbl>
    <w:p w14:paraId="7ECECCF9">
      <w:pPr>
        <w:spacing w:line="360" w:lineRule="auto"/>
        <w:rPr>
          <w:rFonts w:hint="eastAsia" w:ascii="仿宋" w:hAnsi="仿宋" w:eastAsia="仿宋" w:cs="仿宋"/>
          <w:color w:val="auto"/>
          <w:sz w:val="24"/>
          <w:szCs w:val="24"/>
          <w:highlight w:val="none"/>
        </w:rPr>
      </w:pPr>
    </w:p>
    <w:p w14:paraId="34854196">
      <w:pPr>
        <w:spacing w:line="360" w:lineRule="auto"/>
        <w:rPr>
          <w:rFonts w:hint="eastAsia" w:ascii="仿宋" w:hAnsi="仿宋" w:eastAsia="仿宋" w:cs="仿宋"/>
          <w:color w:val="auto"/>
          <w:sz w:val="24"/>
          <w:szCs w:val="24"/>
          <w:highlight w:val="none"/>
        </w:rPr>
      </w:pPr>
    </w:p>
    <w:p w14:paraId="10825C8E">
      <w:pPr>
        <w:spacing w:line="360" w:lineRule="auto"/>
        <w:rPr>
          <w:rFonts w:hint="eastAsia" w:ascii="仿宋" w:hAnsi="仿宋" w:eastAsia="仿宋" w:cs="仿宋"/>
          <w:color w:val="auto"/>
          <w:sz w:val="24"/>
          <w:szCs w:val="24"/>
          <w:highlight w:val="none"/>
        </w:rPr>
      </w:pPr>
    </w:p>
    <w:p w14:paraId="481D67FD">
      <w:pPr>
        <w:spacing w:line="360" w:lineRule="auto"/>
        <w:rPr>
          <w:rFonts w:hint="eastAsia" w:ascii="仿宋" w:hAnsi="仿宋" w:eastAsia="仿宋" w:cs="仿宋"/>
          <w:color w:val="auto"/>
          <w:sz w:val="24"/>
          <w:szCs w:val="24"/>
          <w:highlight w:val="none"/>
        </w:rPr>
      </w:pPr>
    </w:p>
    <w:p w14:paraId="7D4B896D">
      <w:pPr>
        <w:spacing w:line="360" w:lineRule="auto"/>
        <w:rPr>
          <w:rFonts w:hint="eastAsia" w:ascii="仿宋" w:hAnsi="仿宋" w:eastAsia="仿宋" w:cs="仿宋"/>
          <w:color w:val="auto"/>
          <w:sz w:val="24"/>
          <w:szCs w:val="24"/>
          <w:highlight w:val="none"/>
        </w:rPr>
      </w:pPr>
    </w:p>
    <w:p w14:paraId="70F27096">
      <w:pPr>
        <w:spacing w:line="360" w:lineRule="auto"/>
        <w:rPr>
          <w:rFonts w:hint="eastAsia" w:ascii="仿宋" w:hAnsi="仿宋" w:eastAsia="仿宋" w:cs="仿宋"/>
          <w:color w:val="auto"/>
          <w:sz w:val="24"/>
          <w:szCs w:val="24"/>
          <w:highlight w:val="none"/>
        </w:rPr>
      </w:pPr>
    </w:p>
    <w:p w14:paraId="21D911B2">
      <w:pPr>
        <w:spacing w:line="360" w:lineRule="auto"/>
        <w:rPr>
          <w:rFonts w:hint="eastAsia" w:ascii="仿宋" w:hAnsi="仿宋" w:eastAsia="仿宋" w:cs="仿宋"/>
          <w:color w:val="auto"/>
          <w:sz w:val="24"/>
          <w:szCs w:val="24"/>
          <w:highlight w:val="none"/>
        </w:rPr>
      </w:pPr>
    </w:p>
    <w:p w14:paraId="3F18CC0D">
      <w:pPr>
        <w:spacing w:line="360" w:lineRule="auto"/>
        <w:rPr>
          <w:rFonts w:hint="eastAsia" w:ascii="仿宋" w:hAnsi="仿宋" w:eastAsia="仿宋" w:cs="仿宋"/>
          <w:color w:val="auto"/>
          <w:sz w:val="24"/>
          <w:szCs w:val="24"/>
          <w:highlight w:val="none"/>
        </w:rPr>
      </w:pPr>
    </w:p>
    <w:p w14:paraId="16D3E169">
      <w:pPr>
        <w:spacing w:line="360" w:lineRule="auto"/>
        <w:rPr>
          <w:rFonts w:hint="eastAsia" w:ascii="仿宋" w:hAnsi="仿宋" w:eastAsia="仿宋" w:cs="仿宋"/>
          <w:color w:val="auto"/>
          <w:sz w:val="24"/>
          <w:szCs w:val="24"/>
          <w:highlight w:val="none"/>
        </w:rPr>
      </w:pPr>
    </w:p>
    <w:p w14:paraId="67A156F2">
      <w:pPr>
        <w:spacing w:line="360" w:lineRule="auto"/>
        <w:rPr>
          <w:rFonts w:hint="eastAsia" w:ascii="仿宋" w:hAnsi="仿宋" w:eastAsia="仿宋" w:cs="仿宋"/>
          <w:color w:val="auto"/>
          <w:sz w:val="24"/>
          <w:szCs w:val="24"/>
          <w:highlight w:val="none"/>
        </w:rPr>
      </w:pPr>
    </w:p>
    <w:p w14:paraId="40EA370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066AABC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附件</w:t>
      </w:r>
    </w:p>
    <w:p w14:paraId="1AA70EE1">
      <w:pPr>
        <w:spacing w:line="36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西北妇女儿童医院</w:t>
      </w:r>
      <w:r>
        <w:rPr>
          <w:rFonts w:hint="eastAsia" w:ascii="仿宋" w:hAnsi="仿宋" w:eastAsia="仿宋" w:cs="仿宋"/>
          <w:color w:val="auto"/>
          <w:sz w:val="24"/>
          <w:szCs w:val="24"/>
          <w:highlight w:val="none"/>
          <w:lang w:val="en-US" w:eastAsia="zh-CN"/>
        </w:rPr>
        <w:t>曲江院区净化空调外包服务</w:t>
      </w:r>
      <w:r>
        <w:rPr>
          <w:rFonts w:hint="eastAsia" w:ascii="仿宋" w:hAnsi="仿宋" w:eastAsia="仿宋" w:cs="仿宋"/>
          <w:color w:val="auto"/>
          <w:sz w:val="24"/>
          <w:szCs w:val="24"/>
          <w:highlight w:val="none"/>
          <w:lang w:eastAsia="zh-CN"/>
        </w:rPr>
        <w:t>考核办法</w:t>
      </w:r>
    </w:p>
    <w:p w14:paraId="130AA75C">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第一章  总则</w:t>
      </w:r>
    </w:p>
    <w:p w14:paraId="587A287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第一条  为加强医院科学管理，切实提高工作效率，确保各项工作落实到位，促进医院快速、健康、可持续发展，使外包服务单位能够更好地为医院提供优质服务，特制订本办法。</w:t>
      </w:r>
    </w:p>
    <w:p w14:paraId="3C0828C1">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第二条</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适用范围：</w:t>
      </w:r>
      <w:r>
        <w:rPr>
          <w:rFonts w:hint="eastAsia" w:ascii="仿宋" w:hAnsi="仿宋" w:eastAsia="仿宋" w:cs="仿宋"/>
          <w:color w:val="auto"/>
          <w:sz w:val="24"/>
          <w:szCs w:val="24"/>
          <w:highlight w:val="none"/>
          <w:lang w:val="en-US" w:eastAsia="zh-CN"/>
        </w:rPr>
        <w:t>曲江院区净化空调外包服务单位。</w:t>
      </w:r>
    </w:p>
    <w:p w14:paraId="4C095AB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第三条</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考核原则</w:t>
      </w:r>
    </w:p>
    <w:p w14:paraId="7A6C989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(一)客观考评原则。考核者应以客观事实为考核依据。</w:t>
      </w:r>
    </w:p>
    <w:p w14:paraId="03E0224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(二)公正考评原则。考核者不能被个人情感支配，应公正评价被考核者。</w:t>
      </w:r>
    </w:p>
    <w:p w14:paraId="45E0D88F">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第二章  考核内容及评分标准</w:t>
      </w:r>
    </w:p>
    <w:p w14:paraId="1081F7D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第四条  考核实行月扣分制，每月基础分为100分，月末根据当月职责履行情况、工作效率、</w:t>
      </w:r>
      <w:r>
        <w:rPr>
          <w:rFonts w:hint="eastAsia" w:ascii="仿宋" w:hAnsi="仿宋" w:eastAsia="仿宋" w:cs="仿宋"/>
          <w:color w:val="auto"/>
          <w:sz w:val="24"/>
          <w:szCs w:val="24"/>
          <w:highlight w:val="none"/>
          <w:lang w:val="en-US" w:eastAsia="zh-CN"/>
        </w:rPr>
        <w:t>服务质量</w:t>
      </w:r>
      <w:r>
        <w:rPr>
          <w:rFonts w:hint="eastAsia" w:ascii="仿宋" w:hAnsi="仿宋" w:eastAsia="仿宋" w:cs="仿宋"/>
          <w:color w:val="auto"/>
          <w:sz w:val="24"/>
          <w:szCs w:val="24"/>
          <w:highlight w:val="none"/>
        </w:rPr>
        <w:t>等方面的表现，结合评分标准评定当月得分。</w:t>
      </w:r>
    </w:p>
    <w:p w14:paraId="4D18D7B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第五条：考核标准（</w:t>
      </w:r>
      <w:r>
        <w:rPr>
          <w:rFonts w:hint="eastAsia" w:ascii="仿宋" w:hAnsi="仿宋" w:eastAsia="仿宋" w:cs="仿宋"/>
          <w:color w:val="auto"/>
          <w:sz w:val="24"/>
          <w:szCs w:val="24"/>
          <w:highlight w:val="none"/>
          <w:lang w:val="en-US" w:eastAsia="zh-CN"/>
        </w:rPr>
        <w:t>后附</w:t>
      </w:r>
      <w:r>
        <w:rPr>
          <w:rFonts w:hint="eastAsia" w:ascii="仿宋" w:hAnsi="仿宋" w:eastAsia="仿宋" w:cs="仿宋"/>
          <w:color w:val="auto"/>
          <w:sz w:val="24"/>
          <w:szCs w:val="24"/>
          <w:highlight w:val="none"/>
        </w:rPr>
        <w:t>）</w:t>
      </w:r>
    </w:p>
    <w:p w14:paraId="18509E80">
      <w:pPr>
        <w:widowControl/>
        <w:shd w:val="clear" w:color="auto" w:fill="FFFFFF"/>
        <w:spacing w:line="360" w:lineRule="auto"/>
        <w:ind w:right="300"/>
        <w:jc w:val="center"/>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rPr>
        <w:t xml:space="preserve">第三章 </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考核程序</w:t>
      </w:r>
    </w:p>
    <w:p w14:paraId="2333B674">
      <w:pPr>
        <w:widowControl/>
        <w:shd w:val="clear" w:color="auto" w:fill="FFFFFF"/>
        <w:spacing w:line="360" w:lineRule="auto"/>
        <w:ind w:right="3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第六条 考核方法</w:t>
      </w:r>
    </w:p>
    <w:p w14:paraId="30BD6AFC">
      <w:pPr>
        <w:widowControl/>
        <w:shd w:val="clear" w:color="auto" w:fill="FFFFFF"/>
        <w:spacing w:line="360" w:lineRule="auto"/>
        <w:ind w:right="300"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定期与不定期相结合方式。定期：</w:t>
      </w:r>
      <w:r>
        <w:rPr>
          <w:rFonts w:hint="eastAsia" w:ascii="仿宋" w:hAnsi="仿宋" w:eastAsia="仿宋" w:cs="仿宋"/>
          <w:color w:val="auto"/>
          <w:kern w:val="0"/>
          <w:sz w:val="24"/>
          <w:szCs w:val="24"/>
          <w:highlight w:val="none"/>
          <w:lang w:val="en-US" w:eastAsia="zh-CN"/>
        </w:rPr>
        <w:t>医院</w:t>
      </w:r>
      <w:r>
        <w:rPr>
          <w:rFonts w:hint="eastAsia" w:ascii="仿宋" w:hAnsi="仿宋" w:eastAsia="仿宋" w:cs="仿宋"/>
          <w:color w:val="auto"/>
          <w:kern w:val="0"/>
          <w:sz w:val="24"/>
          <w:szCs w:val="24"/>
          <w:highlight w:val="none"/>
          <w:lang w:eastAsia="zh-CN"/>
        </w:rPr>
        <w:t>相关部门</w:t>
      </w:r>
      <w:r>
        <w:rPr>
          <w:rFonts w:hint="eastAsia" w:ascii="仿宋" w:hAnsi="仿宋" w:eastAsia="仿宋" w:cs="仿宋"/>
          <w:color w:val="auto"/>
          <w:kern w:val="0"/>
          <w:sz w:val="24"/>
          <w:szCs w:val="24"/>
          <w:highlight w:val="none"/>
        </w:rPr>
        <w:t>每月最后一周</w:t>
      </w:r>
      <w:r>
        <w:rPr>
          <w:rFonts w:hint="eastAsia" w:ascii="仿宋" w:hAnsi="仿宋" w:eastAsia="仿宋" w:cs="仿宋"/>
          <w:color w:val="auto"/>
          <w:kern w:val="0"/>
          <w:sz w:val="24"/>
          <w:szCs w:val="24"/>
          <w:highlight w:val="none"/>
          <w:lang w:eastAsia="zh-CN"/>
        </w:rPr>
        <w:t>或不定期</w:t>
      </w:r>
      <w:r>
        <w:rPr>
          <w:rFonts w:hint="eastAsia" w:ascii="仿宋" w:hAnsi="仿宋" w:eastAsia="仿宋" w:cs="仿宋"/>
          <w:color w:val="auto"/>
          <w:kern w:val="0"/>
          <w:sz w:val="24"/>
          <w:szCs w:val="24"/>
          <w:highlight w:val="none"/>
        </w:rPr>
        <w:t>进行；行政后勤管理人员不定期巡查外包公司工作情况，发现问题，立即通知责任人改正，并视情况扣分，记入月底考评。</w:t>
      </w:r>
    </w:p>
    <w:p w14:paraId="3CD5889A">
      <w:pPr>
        <w:widowControl/>
        <w:shd w:val="clear" w:color="auto" w:fill="FFFFFF"/>
        <w:spacing w:line="360" w:lineRule="auto"/>
        <w:ind w:right="300"/>
        <w:jc w:val="center"/>
        <w:rPr>
          <w:rFonts w:hint="default"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rPr>
        <w:t xml:space="preserve">第四章 </w:t>
      </w:r>
      <w:r>
        <w:rPr>
          <w:rFonts w:hint="eastAsia" w:ascii="仿宋" w:hAnsi="仿宋" w:eastAsia="仿宋" w:cs="仿宋"/>
          <w:b/>
          <w:bCs/>
          <w:color w:val="auto"/>
          <w:kern w:val="0"/>
          <w:sz w:val="24"/>
          <w:szCs w:val="24"/>
          <w:highlight w:val="none"/>
          <w:lang w:val="en-US" w:eastAsia="zh-CN"/>
        </w:rPr>
        <w:t xml:space="preserve"> </w:t>
      </w:r>
      <w:r>
        <w:rPr>
          <w:rFonts w:hint="eastAsia" w:ascii="仿宋" w:hAnsi="仿宋" w:eastAsia="仿宋" w:cs="仿宋"/>
          <w:b/>
          <w:bCs/>
          <w:color w:val="auto"/>
          <w:kern w:val="0"/>
          <w:sz w:val="24"/>
          <w:szCs w:val="24"/>
          <w:highlight w:val="none"/>
        </w:rPr>
        <w:t>考核</w:t>
      </w:r>
      <w:r>
        <w:rPr>
          <w:rFonts w:hint="eastAsia" w:ascii="仿宋" w:hAnsi="仿宋" w:eastAsia="仿宋" w:cs="仿宋"/>
          <w:b/>
          <w:bCs/>
          <w:color w:val="auto"/>
          <w:kern w:val="0"/>
          <w:sz w:val="24"/>
          <w:szCs w:val="24"/>
          <w:highlight w:val="none"/>
          <w:lang w:val="en-US" w:eastAsia="zh-CN"/>
        </w:rPr>
        <w:t>结果应用</w:t>
      </w:r>
    </w:p>
    <w:p w14:paraId="2B6DEAE7">
      <w:pPr>
        <w:widowControl/>
        <w:shd w:val="clear" w:color="auto" w:fill="FFFFFF"/>
        <w:spacing w:line="360" w:lineRule="auto"/>
        <w:ind w:right="3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第七条  每月根据《考核标准》打分，以百分制计算。最终考核结果的等次划分为：95-100分：付</w:t>
      </w:r>
      <w:r>
        <w:rPr>
          <w:rFonts w:hint="eastAsia" w:ascii="仿宋" w:hAnsi="仿宋" w:eastAsia="仿宋" w:cs="仿宋"/>
          <w:color w:val="auto"/>
          <w:kern w:val="0"/>
          <w:sz w:val="24"/>
          <w:szCs w:val="24"/>
          <w:highlight w:val="none"/>
          <w:lang w:val="en-US" w:eastAsia="zh-CN"/>
        </w:rPr>
        <w:t>当月服务费</w:t>
      </w:r>
      <w:r>
        <w:rPr>
          <w:rFonts w:hint="eastAsia" w:ascii="仿宋" w:hAnsi="仿宋" w:eastAsia="仿宋" w:cs="仿宋"/>
          <w:color w:val="auto"/>
          <w:kern w:val="0"/>
          <w:sz w:val="24"/>
          <w:szCs w:val="24"/>
          <w:highlight w:val="none"/>
        </w:rPr>
        <w:t>100％；94分（含）及以下：每低1分，按当月服务费扣除0.5％，并限期整改；85-70分</w:t>
      </w:r>
      <w:r>
        <w:rPr>
          <w:rFonts w:hint="eastAsia" w:ascii="仿宋" w:hAnsi="仿宋" w:eastAsia="仿宋" w:cs="仿宋"/>
          <w:color w:val="auto"/>
          <w:kern w:val="0"/>
          <w:sz w:val="24"/>
          <w:szCs w:val="24"/>
          <w:highlight w:val="none"/>
          <w:lang w:val="en-US" w:eastAsia="zh-CN"/>
        </w:rPr>
        <w:t>（含）</w:t>
      </w:r>
      <w:r>
        <w:rPr>
          <w:rFonts w:hint="eastAsia" w:ascii="仿宋" w:hAnsi="仿宋" w:eastAsia="仿宋" w:cs="仿宋"/>
          <w:color w:val="auto"/>
          <w:kern w:val="0"/>
          <w:sz w:val="24"/>
          <w:szCs w:val="24"/>
          <w:highlight w:val="none"/>
        </w:rPr>
        <w:t>：每低1分，按当月服务费扣除0.5％，约谈</w:t>
      </w:r>
      <w:r>
        <w:rPr>
          <w:rFonts w:hint="eastAsia" w:ascii="仿宋" w:hAnsi="仿宋" w:eastAsia="仿宋" w:cs="仿宋"/>
          <w:color w:val="auto"/>
          <w:kern w:val="0"/>
          <w:sz w:val="24"/>
          <w:szCs w:val="24"/>
          <w:highlight w:val="none"/>
          <w:lang w:val="en-US" w:eastAsia="zh-CN"/>
        </w:rPr>
        <w:t>服务单位</w:t>
      </w:r>
      <w:r>
        <w:rPr>
          <w:rFonts w:hint="eastAsia" w:ascii="仿宋" w:hAnsi="仿宋" w:eastAsia="仿宋" w:cs="仿宋"/>
          <w:color w:val="auto"/>
          <w:kern w:val="0"/>
          <w:sz w:val="24"/>
          <w:szCs w:val="24"/>
          <w:highlight w:val="none"/>
        </w:rPr>
        <w:t>负责人；＜70分：暂停付款，启动合同终止流程。</w:t>
      </w:r>
    </w:p>
    <w:p w14:paraId="4EF69E8A">
      <w:pPr>
        <w:widowControl/>
        <w:shd w:val="clear" w:color="auto" w:fill="FFFFFF"/>
        <w:spacing w:line="360" w:lineRule="auto"/>
        <w:ind w:right="300"/>
        <w:jc w:val="center"/>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rPr>
        <w:t xml:space="preserve">第五章 </w:t>
      </w:r>
      <w:r>
        <w:rPr>
          <w:rFonts w:hint="eastAsia" w:ascii="仿宋" w:hAnsi="仿宋" w:eastAsia="仿宋" w:cs="仿宋"/>
          <w:b/>
          <w:bCs/>
          <w:color w:val="auto"/>
          <w:kern w:val="0"/>
          <w:sz w:val="24"/>
          <w:szCs w:val="24"/>
          <w:highlight w:val="none"/>
          <w:lang w:val="en-US" w:eastAsia="zh-CN"/>
        </w:rPr>
        <w:t xml:space="preserve"> </w:t>
      </w:r>
      <w:bookmarkStart w:id="4" w:name="_GoBack"/>
      <w:bookmarkEnd w:id="4"/>
      <w:r>
        <w:rPr>
          <w:rFonts w:hint="eastAsia" w:ascii="仿宋" w:hAnsi="仿宋" w:eastAsia="仿宋" w:cs="仿宋"/>
          <w:b/>
          <w:bCs/>
          <w:color w:val="auto"/>
          <w:kern w:val="0"/>
          <w:sz w:val="24"/>
          <w:szCs w:val="24"/>
          <w:highlight w:val="none"/>
        </w:rPr>
        <w:t>附 则</w:t>
      </w:r>
    </w:p>
    <w:p w14:paraId="4D207CE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八</w:t>
      </w:r>
      <w:r>
        <w:rPr>
          <w:rFonts w:hint="eastAsia" w:ascii="仿宋" w:hAnsi="仿宋" w:eastAsia="仿宋" w:cs="仿宋"/>
          <w:color w:val="auto"/>
          <w:sz w:val="24"/>
          <w:szCs w:val="24"/>
          <w:highlight w:val="none"/>
        </w:rPr>
        <w:t>条  由于</w:t>
      </w:r>
      <w:r>
        <w:rPr>
          <w:rFonts w:hint="eastAsia" w:ascii="仿宋" w:hAnsi="仿宋" w:eastAsia="仿宋" w:cs="仿宋"/>
          <w:color w:val="auto"/>
          <w:sz w:val="24"/>
          <w:szCs w:val="24"/>
          <w:highlight w:val="none"/>
          <w:lang w:val="en-US" w:eastAsia="zh-CN"/>
        </w:rPr>
        <w:t>医院</w:t>
      </w:r>
      <w:r>
        <w:rPr>
          <w:rFonts w:hint="eastAsia" w:ascii="仿宋" w:hAnsi="仿宋" w:eastAsia="仿宋" w:cs="仿宋"/>
          <w:color w:val="auto"/>
          <w:sz w:val="24"/>
          <w:szCs w:val="24"/>
          <w:highlight w:val="none"/>
        </w:rPr>
        <w:t>属于特殊行业，不允许出现重大事故，若出现重大事故则考核为一票否决。</w:t>
      </w:r>
    </w:p>
    <w:p w14:paraId="69D834A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九</w:t>
      </w:r>
      <w:r>
        <w:rPr>
          <w:rFonts w:hint="eastAsia" w:ascii="仿宋" w:hAnsi="仿宋" w:eastAsia="仿宋" w:cs="仿宋"/>
          <w:color w:val="auto"/>
          <w:sz w:val="24"/>
          <w:szCs w:val="24"/>
          <w:highlight w:val="none"/>
        </w:rPr>
        <w:t>条  该考核办法在运行过程中，根据实际情况可进行内容补充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调整</w:t>
      </w:r>
      <w:r>
        <w:rPr>
          <w:rFonts w:hint="eastAsia" w:ascii="仿宋" w:hAnsi="仿宋" w:eastAsia="仿宋" w:cs="仿宋"/>
          <w:color w:val="auto"/>
          <w:sz w:val="24"/>
          <w:szCs w:val="24"/>
          <w:highlight w:val="none"/>
        </w:rPr>
        <w:t>。</w:t>
      </w:r>
    </w:p>
    <w:p w14:paraId="17078E2D">
      <w:pPr>
        <w:spacing w:line="360" w:lineRule="auto"/>
        <w:rPr>
          <w:rFonts w:hint="eastAsia" w:ascii="仿宋" w:hAnsi="仿宋" w:eastAsia="仿宋" w:cs="仿宋"/>
          <w:color w:val="auto"/>
          <w:sz w:val="24"/>
          <w:szCs w:val="24"/>
          <w:highlight w:val="none"/>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4F80284E">
      <w:pPr>
        <w:pStyle w:val="11"/>
        <w:keepNext w:val="0"/>
        <w:keepLines w:val="0"/>
        <w:pageBreakBefore w:val="0"/>
        <w:widowControl w:val="0"/>
        <w:numPr>
          <w:ilvl w:val="0"/>
          <w:numId w:val="0"/>
        </w:numPr>
        <w:kinsoku/>
        <w:wordWrap/>
        <w:overflowPunct w:val="0"/>
        <w:topLinePunct w:val="0"/>
        <w:autoSpaceDE/>
        <w:autoSpaceDN/>
        <w:bidi w:val="0"/>
        <w:adjustRightInd/>
        <w:snapToGrid/>
        <w:spacing w:line="460" w:lineRule="exact"/>
        <w:textAlignment w:val="auto"/>
        <w:rPr>
          <w:rStyle w:val="10"/>
          <w:rFonts w:hint="default" w:ascii="仿宋" w:hAnsi="仿宋" w:eastAsia="仿宋" w:cs="仿宋"/>
          <w:b/>
          <w:bCs/>
          <w:i w:val="0"/>
          <w:iCs w:val="0"/>
          <w:caps w:val="0"/>
          <w:color w:val="auto"/>
          <w:spacing w:val="2"/>
          <w:sz w:val="21"/>
          <w:szCs w:val="21"/>
          <w:highlight w:val="none"/>
          <w:shd w:val="clear" w:fill="FFFFFF"/>
          <w:lang w:val="en-US" w:eastAsia="zh-CN"/>
        </w:rPr>
      </w:pPr>
      <w:r>
        <w:rPr>
          <w:rStyle w:val="10"/>
          <w:rFonts w:hint="eastAsia" w:ascii="仿宋" w:hAnsi="仿宋" w:eastAsia="仿宋" w:cs="仿宋"/>
          <w:b/>
          <w:bCs/>
          <w:i w:val="0"/>
          <w:iCs w:val="0"/>
          <w:caps w:val="0"/>
          <w:color w:val="auto"/>
          <w:spacing w:val="2"/>
          <w:sz w:val="21"/>
          <w:szCs w:val="21"/>
          <w:highlight w:val="none"/>
          <w:shd w:val="clear" w:fill="FFFFFF"/>
          <w:lang w:val="en-US" w:eastAsia="zh-CN"/>
        </w:rPr>
        <w:t>考核标准</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524"/>
        <w:gridCol w:w="4298"/>
        <w:gridCol w:w="1028"/>
        <w:gridCol w:w="4519"/>
        <w:gridCol w:w="762"/>
        <w:gridCol w:w="1436"/>
      </w:tblGrid>
      <w:tr w14:paraId="07FB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shd w:val="clear" w:color="auto" w:fill="auto"/>
            <w:vAlign w:val="center"/>
          </w:tcPr>
          <w:p w14:paraId="6570C16C">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序号</w:t>
            </w:r>
          </w:p>
        </w:tc>
        <w:tc>
          <w:tcPr>
            <w:tcW w:w="538" w:type="pct"/>
            <w:shd w:val="clear" w:color="auto" w:fill="auto"/>
            <w:vAlign w:val="center"/>
          </w:tcPr>
          <w:p w14:paraId="64D539F8">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考核项目</w:t>
            </w:r>
          </w:p>
        </w:tc>
        <w:tc>
          <w:tcPr>
            <w:tcW w:w="1517" w:type="pct"/>
            <w:shd w:val="clear" w:color="auto" w:fill="auto"/>
            <w:vAlign w:val="center"/>
          </w:tcPr>
          <w:p w14:paraId="0F32E2A8">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考核内容与标准</w:t>
            </w:r>
          </w:p>
        </w:tc>
        <w:tc>
          <w:tcPr>
            <w:tcW w:w="363" w:type="pct"/>
            <w:shd w:val="clear" w:color="auto" w:fill="auto"/>
            <w:vAlign w:val="center"/>
          </w:tcPr>
          <w:p w14:paraId="327182CE">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分值</w:t>
            </w:r>
          </w:p>
          <w:p w14:paraId="60AD68CF">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（100分）</w:t>
            </w:r>
          </w:p>
        </w:tc>
        <w:tc>
          <w:tcPr>
            <w:tcW w:w="1595" w:type="pct"/>
            <w:shd w:val="clear" w:color="auto" w:fill="auto"/>
            <w:vAlign w:val="center"/>
          </w:tcPr>
          <w:p w14:paraId="33553872">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评分细则</w:t>
            </w:r>
          </w:p>
        </w:tc>
        <w:tc>
          <w:tcPr>
            <w:tcW w:w="269" w:type="pct"/>
            <w:shd w:val="clear" w:color="auto" w:fill="auto"/>
            <w:vAlign w:val="center"/>
          </w:tcPr>
          <w:p w14:paraId="658F6AE6">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实际得分</w:t>
            </w:r>
          </w:p>
        </w:tc>
        <w:tc>
          <w:tcPr>
            <w:tcW w:w="503" w:type="pct"/>
            <w:shd w:val="clear" w:color="auto" w:fill="auto"/>
            <w:vAlign w:val="center"/>
          </w:tcPr>
          <w:p w14:paraId="15C5C5EF">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扣分原因及事实描述</w:t>
            </w:r>
          </w:p>
        </w:tc>
      </w:tr>
      <w:tr w14:paraId="66CE7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11" w:type="pct"/>
          </w:tcPr>
          <w:p w14:paraId="76F0B1DD">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w:t>
            </w:r>
          </w:p>
        </w:tc>
        <w:tc>
          <w:tcPr>
            <w:tcW w:w="4788" w:type="pct"/>
            <w:gridSpan w:val="6"/>
          </w:tcPr>
          <w:p w14:paraId="17DA9AB7">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日常巡检与预防性保养 (33分)</w:t>
            </w:r>
          </w:p>
        </w:tc>
      </w:tr>
      <w:tr w14:paraId="645E8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1177B6B9">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1.1</w:t>
            </w:r>
          </w:p>
        </w:tc>
        <w:tc>
          <w:tcPr>
            <w:tcW w:w="538" w:type="pct"/>
            <w:vAlign w:val="center"/>
          </w:tcPr>
          <w:p w14:paraId="3ED777A1">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巡检计划与执行</w:t>
            </w:r>
          </w:p>
        </w:tc>
        <w:tc>
          <w:tcPr>
            <w:tcW w:w="1517" w:type="pct"/>
            <w:vAlign w:val="center"/>
          </w:tcPr>
          <w:p w14:paraId="0B05D3D5">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严格按照合同约定频次（如每日/每周/每月）对净化系统设备进行巡检，并有详细巡检记录。</w:t>
            </w:r>
          </w:p>
        </w:tc>
        <w:tc>
          <w:tcPr>
            <w:tcW w:w="363" w:type="pct"/>
            <w:vAlign w:val="center"/>
          </w:tcPr>
          <w:p w14:paraId="48620F91">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1595" w:type="pct"/>
          </w:tcPr>
          <w:p w14:paraId="43376A35">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巡检记录完整、规范，无遗漏，得10分。每少一次巡检或记录不完整/不规范，扣2分，扣完为止。</w:t>
            </w:r>
          </w:p>
        </w:tc>
        <w:tc>
          <w:tcPr>
            <w:tcW w:w="269" w:type="pct"/>
          </w:tcPr>
          <w:p w14:paraId="10E26C5F">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10E9419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7F9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0BC7CFB7">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1.2</w:t>
            </w:r>
          </w:p>
        </w:tc>
        <w:tc>
          <w:tcPr>
            <w:tcW w:w="538" w:type="pct"/>
            <w:vAlign w:val="center"/>
          </w:tcPr>
          <w:p w14:paraId="368D07BC">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设备运行状态</w:t>
            </w:r>
          </w:p>
        </w:tc>
        <w:tc>
          <w:tcPr>
            <w:tcW w:w="1517" w:type="pct"/>
            <w:vAlign w:val="center"/>
          </w:tcPr>
          <w:p w14:paraId="242DB1A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巡检时准确判断设备运行状态，及时发现潜在问题并记录上报。</w:t>
            </w:r>
          </w:p>
        </w:tc>
        <w:tc>
          <w:tcPr>
            <w:tcW w:w="363" w:type="pct"/>
            <w:vAlign w:val="center"/>
          </w:tcPr>
          <w:p w14:paraId="2DEE0B42">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8</w:t>
            </w:r>
          </w:p>
        </w:tc>
        <w:tc>
          <w:tcPr>
            <w:tcW w:w="1595" w:type="pct"/>
          </w:tcPr>
          <w:p w14:paraId="607A9FA1">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设备运行参数在正常范围，潜在问题及时发现并上报，得8分。发现一处设备异常未及时上报或判断失误，扣2分，扣完为止。</w:t>
            </w:r>
          </w:p>
        </w:tc>
        <w:tc>
          <w:tcPr>
            <w:tcW w:w="269" w:type="pct"/>
          </w:tcPr>
          <w:p w14:paraId="79AB507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6FE7603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65CA2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40390125">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1.3</w:t>
            </w:r>
          </w:p>
        </w:tc>
        <w:tc>
          <w:tcPr>
            <w:tcW w:w="538" w:type="pct"/>
            <w:vAlign w:val="center"/>
          </w:tcPr>
          <w:p w14:paraId="35DB7B0C">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预防性保养实施</w:t>
            </w:r>
          </w:p>
        </w:tc>
        <w:tc>
          <w:tcPr>
            <w:tcW w:w="1517" w:type="pct"/>
            <w:vAlign w:val="center"/>
          </w:tcPr>
          <w:p w14:paraId="1F5136B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严格按照合同约定的保养周期和项目进行预防性保养，并有保养记录和相关凭证。</w:t>
            </w:r>
          </w:p>
        </w:tc>
        <w:tc>
          <w:tcPr>
            <w:tcW w:w="363" w:type="pct"/>
            <w:shd w:val="clear" w:color="auto" w:fill="FFFFFF"/>
            <w:vAlign w:val="center"/>
          </w:tcPr>
          <w:p w14:paraId="06377110">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1595" w:type="pct"/>
            <w:shd w:val="clear" w:color="auto" w:fill="FFFFFF"/>
            <w:vAlign w:val="center"/>
          </w:tcPr>
          <w:p w14:paraId="7B0D1CC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保养项目齐全、到位，记录清晰，得10分。每遗漏一项保养或保养不到位，扣2分；记录不规范，扣1分/项，扣完为止。</w:t>
            </w:r>
          </w:p>
        </w:tc>
        <w:tc>
          <w:tcPr>
            <w:tcW w:w="269" w:type="pct"/>
          </w:tcPr>
          <w:p w14:paraId="3CA1A56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5006881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4120F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7303B0F8">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1.4</w:t>
            </w:r>
          </w:p>
        </w:tc>
        <w:tc>
          <w:tcPr>
            <w:tcW w:w="538" w:type="pct"/>
            <w:vAlign w:val="center"/>
          </w:tcPr>
          <w:p w14:paraId="67B49B58">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清洁与环境</w:t>
            </w:r>
          </w:p>
        </w:tc>
        <w:tc>
          <w:tcPr>
            <w:tcW w:w="1517" w:type="pct"/>
            <w:vAlign w:val="center"/>
          </w:tcPr>
          <w:p w14:paraId="1E61816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维保工作区域及设备表面清洁，工具材料摆放有序，无遗留垃圾。</w:t>
            </w:r>
          </w:p>
        </w:tc>
        <w:tc>
          <w:tcPr>
            <w:tcW w:w="363" w:type="pct"/>
            <w:vAlign w:val="center"/>
          </w:tcPr>
          <w:p w14:paraId="5AE2B1CE">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1595" w:type="pct"/>
          </w:tcPr>
          <w:p w14:paraId="2ACEB7E0">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工作区域及设备清洁，工具材料整理到位，得5分。发现一处不清洁或工具材料乱放，扣1分，扣完为止。</w:t>
            </w:r>
          </w:p>
        </w:tc>
        <w:tc>
          <w:tcPr>
            <w:tcW w:w="269" w:type="pct"/>
          </w:tcPr>
          <w:p w14:paraId="7148931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77AB81E4">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5A521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tcPr>
          <w:p w14:paraId="5655C491">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w:t>
            </w:r>
          </w:p>
        </w:tc>
        <w:tc>
          <w:tcPr>
            <w:tcW w:w="4788" w:type="pct"/>
            <w:gridSpan w:val="6"/>
            <w:vAlign w:val="center"/>
          </w:tcPr>
          <w:p w14:paraId="71AF803E">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故障维修与应急处理 (30分)</w:t>
            </w:r>
          </w:p>
        </w:tc>
      </w:tr>
      <w:tr w14:paraId="27324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4285663C">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2.1</w:t>
            </w:r>
          </w:p>
        </w:tc>
        <w:tc>
          <w:tcPr>
            <w:tcW w:w="538" w:type="pct"/>
            <w:vAlign w:val="center"/>
          </w:tcPr>
          <w:p w14:paraId="634E54E5">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响应时间</w:t>
            </w:r>
          </w:p>
        </w:tc>
        <w:tc>
          <w:tcPr>
            <w:tcW w:w="1517" w:type="pct"/>
          </w:tcPr>
          <w:p w14:paraId="240D09D7">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接到故障报修后，按合同约定时间（10分钟内）到达现场处理。</w:t>
            </w:r>
          </w:p>
        </w:tc>
        <w:tc>
          <w:tcPr>
            <w:tcW w:w="363" w:type="pct"/>
            <w:shd w:val="clear" w:color="auto" w:fill="FFFFFF"/>
            <w:vAlign w:val="center"/>
          </w:tcPr>
          <w:p w14:paraId="518237D5">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1595" w:type="pct"/>
            <w:shd w:val="clear" w:color="auto" w:fill="FFFFFF"/>
          </w:tcPr>
          <w:p w14:paraId="0681F65B">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100%按约定时间响应并到达，得5分。每延迟1小时（不足1小时按1小时计），扣1分，扣完为止。</w:t>
            </w:r>
          </w:p>
        </w:tc>
        <w:tc>
          <w:tcPr>
            <w:tcW w:w="269" w:type="pct"/>
          </w:tcPr>
          <w:p w14:paraId="65B4A791">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3EDD411E">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55CAE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2DAEA29C">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2.2</w:t>
            </w:r>
          </w:p>
        </w:tc>
        <w:tc>
          <w:tcPr>
            <w:tcW w:w="538" w:type="pct"/>
            <w:vAlign w:val="center"/>
          </w:tcPr>
          <w:p w14:paraId="2C853FAF">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维修及时性</w:t>
            </w:r>
          </w:p>
        </w:tc>
        <w:tc>
          <w:tcPr>
            <w:tcW w:w="1517" w:type="pct"/>
          </w:tcPr>
          <w:p w14:paraId="253594F5">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一般故障在合同约定时间内（2小时/3小时/12小时/72小时内）修复；重大故障提供书面方案并按方案时间修复或采取临时措施。</w:t>
            </w:r>
          </w:p>
        </w:tc>
        <w:tc>
          <w:tcPr>
            <w:tcW w:w="363" w:type="pct"/>
            <w:vAlign w:val="center"/>
          </w:tcPr>
          <w:p w14:paraId="46F80CE4">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default"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1595" w:type="pct"/>
          </w:tcPr>
          <w:p w14:paraId="7AA6929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一般故障按时修复，重大故障及时处理，得10分。一般故障每超期1小时，扣2分；重大故障未及时提供方案或未按方案执行，扣5分/次，扣完为止。</w:t>
            </w:r>
          </w:p>
        </w:tc>
        <w:tc>
          <w:tcPr>
            <w:tcW w:w="269" w:type="pct"/>
          </w:tcPr>
          <w:p w14:paraId="0C92BF2A">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76623D2B">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122F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098E5EB4">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2.3</w:t>
            </w:r>
          </w:p>
        </w:tc>
        <w:tc>
          <w:tcPr>
            <w:tcW w:w="538" w:type="pct"/>
            <w:vAlign w:val="center"/>
          </w:tcPr>
          <w:p w14:paraId="44C627C1">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维修质量</w:t>
            </w:r>
          </w:p>
        </w:tc>
        <w:tc>
          <w:tcPr>
            <w:tcW w:w="1517" w:type="pct"/>
          </w:tcPr>
          <w:p w14:paraId="0EC02FAE">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故障修复彻底，短期内无重复发生；更换配件为原厂或同等质量合格产品，并有更换记录。</w:t>
            </w:r>
          </w:p>
        </w:tc>
        <w:tc>
          <w:tcPr>
            <w:tcW w:w="363" w:type="pct"/>
            <w:vAlign w:val="center"/>
          </w:tcPr>
          <w:p w14:paraId="7230A7AB">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1595" w:type="pct"/>
          </w:tcPr>
          <w:p w14:paraId="44B95867">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故障彻底修复，无重复发生，配件合格，记录完整，得10分。同一故障一月内重复发生，扣5分/次；使用不合格配件，扣10分/次。</w:t>
            </w:r>
          </w:p>
        </w:tc>
        <w:tc>
          <w:tcPr>
            <w:tcW w:w="269" w:type="pct"/>
          </w:tcPr>
          <w:p w14:paraId="4D36AFD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58252A0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42EE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0FC174C2">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2.4</w:t>
            </w:r>
          </w:p>
        </w:tc>
        <w:tc>
          <w:tcPr>
            <w:tcW w:w="538" w:type="pct"/>
            <w:vAlign w:val="center"/>
          </w:tcPr>
          <w:p w14:paraId="70CBE2C7">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应急处理能力</w:t>
            </w:r>
          </w:p>
        </w:tc>
        <w:tc>
          <w:tcPr>
            <w:tcW w:w="1517" w:type="pct"/>
          </w:tcPr>
          <w:p w14:paraId="75C0C620">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接到紧急故障（如大面积停机、影响重要区域等）后，按合同约定最快时间到达并组织抢修，应有应急方案并定期演练。</w:t>
            </w:r>
          </w:p>
        </w:tc>
        <w:tc>
          <w:tcPr>
            <w:tcW w:w="363" w:type="pct"/>
            <w:vAlign w:val="center"/>
          </w:tcPr>
          <w:p w14:paraId="6BCB7D90">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1595" w:type="pct"/>
          </w:tcPr>
          <w:p w14:paraId="2B07CDD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应急响应迅速，处理得当，有效降低影响，得5分。响应迟缓或处理不当造成不良影响，扣3-5分。</w:t>
            </w:r>
          </w:p>
        </w:tc>
        <w:tc>
          <w:tcPr>
            <w:tcW w:w="269" w:type="pct"/>
          </w:tcPr>
          <w:p w14:paraId="2DD4E5E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2F4C9EEA">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49E44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tcPr>
          <w:p w14:paraId="115832B1">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4788" w:type="pct"/>
            <w:gridSpan w:val="6"/>
          </w:tcPr>
          <w:p w14:paraId="48B7CBF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人员与管理 (18分)</w:t>
            </w:r>
          </w:p>
        </w:tc>
      </w:tr>
      <w:tr w14:paraId="1DEFE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560904B6">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3.1</w:t>
            </w:r>
          </w:p>
        </w:tc>
        <w:tc>
          <w:tcPr>
            <w:tcW w:w="538" w:type="pct"/>
            <w:shd w:val="clear" w:color="auto" w:fill="FFFFFF"/>
            <w:vAlign w:val="center"/>
          </w:tcPr>
          <w:p w14:paraId="6E0D39BE">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项目负责人与培训</w:t>
            </w:r>
          </w:p>
        </w:tc>
        <w:tc>
          <w:tcPr>
            <w:tcW w:w="1517" w:type="pct"/>
            <w:shd w:val="clear" w:color="auto" w:fill="FFFFFF"/>
            <w:vAlign w:val="center"/>
          </w:tcPr>
          <w:p w14:paraId="4BB6A18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项目负责人每周在岗时间不少于40小时。驻守人员着装统一规范，佩戴工牌；定期进行专业技能和医院相关规章制度培训。</w:t>
            </w:r>
          </w:p>
        </w:tc>
        <w:tc>
          <w:tcPr>
            <w:tcW w:w="363" w:type="pct"/>
            <w:shd w:val="clear" w:color="auto" w:fill="FFFFFF"/>
            <w:vAlign w:val="center"/>
          </w:tcPr>
          <w:p w14:paraId="5FF89B70">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1595" w:type="pct"/>
            <w:shd w:val="clear" w:color="auto" w:fill="FFFFFF"/>
            <w:vAlign w:val="top"/>
          </w:tcPr>
          <w:p w14:paraId="3D5EA46C">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项目负责人每周在岗时间不少于40小时，得2分，少于40小时扣2分。人员资质符合要求，着装规范，得3分。发现无证上岗或着装不规范，扣1分/人；未提供培训记录，扣3分。</w:t>
            </w:r>
          </w:p>
        </w:tc>
        <w:tc>
          <w:tcPr>
            <w:tcW w:w="269" w:type="pct"/>
          </w:tcPr>
          <w:p w14:paraId="22A1EDF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04A6DBC5">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3DF8B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072AA701">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3.2</w:t>
            </w:r>
          </w:p>
        </w:tc>
        <w:tc>
          <w:tcPr>
            <w:tcW w:w="538" w:type="pct"/>
            <w:vAlign w:val="center"/>
          </w:tcPr>
          <w:p w14:paraId="3D231086">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安全操作</w:t>
            </w:r>
          </w:p>
        </w:tc>
        <w:tc>
          <w:tcPr>
            <w:tcW w:w="1517" w:type="pct"/>
            <w:vAlign w:val="center"/>
          </w:tcPr>
          <w:p w14:paraId="073AA39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严格遵守医院安全管理规定及操作规程，无安全事故发生（如触电、火灾、设备损坏等）。</w:t>
            </w:r>
          </w:p>
        </w:tc>
        <w:tc>
          <w:tcPr>
            <w:tcW w:w="363" w:type="pct"/>
            <w:vAlign w:val="center"/>
          </w:tcPr>
          <w:p w14:paraId="42A69844">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1595" w:type="pct"/>
          </w:tcPr>
          <w:p w14:paraId="3BBCC5C3">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无安全事故，操作规范，得5分。发生一般安全隐患未造成损失，扣2分；发生安全事故，视情节扣5-10分，并追究相关责任。</w:t>
            </w:r>
          </w:p>
        </w:tc>
        <w:tc>
          <w:tcPr>
            <w:tcW w:w="269" w:type="pct"/>
          </w:tcPr>
          <w:p w14:paraId="6850EE9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40861FAE">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119A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5B1BC72C">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3.3</w:t>
            </w:r>
          </w:p>
        </w:tc>
        <w:tc>
          <w:tcPr>
            <w:tcW w:w="538" w:type="pct"/>
            <w:vAlign w:val="center"/>
          </w:tcPr>
          <w:p w14:paraId="78F39AF1">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资料记录与提交</w:t>
            </w:r>
          </w:p>
        </w:tc>
        <w:tc>
          <w:tcPr>
            <w:tcW w:w="1517" w:type="pct"/>
            <w:vAlign w:val="center"/>
          </w:tcPr>
          <w:p w14:paraId="7B3DC56A">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按时提交月度维保总结报告、设备运行状况分析、耗材更换计划、维修记录等资料，内容真实、准确、完整。</w:t>
            </w:r>
          </w:p>
        </w:tc>
        <w:tc>
          <w:tcPr>
            <w:tcW w:w="363" w:type="pct"/>
            <w:vAlign w:val="center"/>
          </w:tcPr>
          <w:p w14:paraId="359DB3B7">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1595" w:type="pct"/>
          </w:tcPr>
          <w:p w14:paraId="2AB167F4">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资料提交及时、完整、准确，得5分。每迟交1天扣1分；内容不完整或不准确，每项扣1分，扣完为止。</w:t>
            </w:r>
          </w:p>
        </w:tc>
        <w:tc>
          <w:tcPr>
            <w:tcW w:w="269" w:type="pct"/>
          </w:tcPr>
          <w:p w14:paraId="5CD04E91">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220C156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7E74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6EA432DE">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3.4</w:t>
            </w:r>
          </w:p>
        </w:tc>
        <w:tc>
          <w:tcPr>
            <w:tcW w:w="538" w:type="pct"/>
            <w:shd w:val="clear" w:color="auto" w:fill="FFFFFF"/>
            <w:vAlign w:val="center"/>
          </w:tcPr>
          <w:p w14:paraId="5B9B1873">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备品备件管理</w:t>
            </w:r>
          </w:p>
        </w:tc>
        <w:tc>
          <w:tcPr>
            <w:tcW w:w="1517" w:type="pct"/>
            <w:shd w:val="clear" w:color="auto" w:fill="FFFFFF"/>
            <w:vAlign w:val="center"/>
          </w:tcPr>
          <w:p w14:paraId="6878EA7A">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常用备品备件储备充足，能满足维修需求；更换下的废旧物料按医院规定处理。</w:t>
            </w:r>
          </w:p>
        </w:tc>
        <w:tc>
          <w:tcPr>
            <w:tcW w:w="363" w:type="pct"/>
            <w:shd w:val="clear" w:color="auto" w:fill="FFFFFF"/>
            <w:vAlign w:val="center"/>
          </w:tcPr>
          <w:p w14:paraId="4AFA73A3">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1595" w:type="pct"/>
            <w:shd w:val="clear" w:color="auto" w:fill="FFFFFF"/>
          </w:tcPr>
          <w:p w14:paraId="556E0E52">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备件充足，废旧物料处理规范，得3分。因备件不足导致维修延误，扣1分/次；废旧物料处理不当，扣1分/次。</w:t>
            </w:r>
          </w:p>
        </w:tc>
        <w:tc>
          <w:tcPr>
            <w:tcW w:w="269" w:type="pct"/>
          </w:tcPr>
          <w:p w14:paraId="18AD349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473E1E2A">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B41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tcPr>
          <w:p w14:paraId="292396BD">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b/>
                <w:bCs/>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4</w:t>
            </w:r>
          </w:p>
        </w:tc>
        <w:tc>
          <w:tcPr>
            <w:tcW w:w="4788" w:type="pct"/>
            <w:gridSpan w:val="6"/>
            <w:shd w:val="clear" w:color="auto" w:fill="FFFFFF"/>
            <w:vAlign w:val="center"/>
          </w:tcPr>
          <w:p w14:paraId="46852383">
            <w:pPr>
              <w:keepNext w:val="0"/>
              <w:keepLines w:val="0"/>
              <w:pageBreakBefore w:val="0"/>
              <w:widowControl w:val="0"/>
              <w:kinsoku/>
              <w:wordWrap/>
              <w:overflowPunct w:val="0"/>
              <w:topLinePunct w:val="0"/>
              <w:autoSpaceDE/>
              <w:autoSpaceDN/>
              <w:bidi w:val="0"/>
              <w:adjustRightInd/>
              <w:snapToGrid/>
              <w:spacing w:line="360" w:lineRule="exact"/>
              <w:jc w:val="left"/>
              <w:textAlignment w:val="auto"/>
              <w:rPr>
                <w:rFonts w:hint="eastAsia" w:ascii="仿宋" w:hAnsi="仿宋" w:eastAsia="仿宋" w:cs="仿宋"/>
                <w:b/>
                <w:bCs/>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服务质量与沟通 (19分)</w:t>
            </w:r>
          </w:p>
        </w:tc>
      </w:tr>
      <w:tr w14:paraId="4F0F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6CDBFF1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4.1</w:t>
            </w:r>
          </w:p>
        </w:tc>
        <w:tc>
          <w:tcPr>
            <w:tcW w:w="538" w:type="pct"/>
            <w:shd w:val="clear" w:color="auto" w:fill="FFFFFF"/>
            <w:vAlign w:val="center"/>
          </w:tcPr>
          <w:p w14:paraId="7E1E658F">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服务态度</w:t>
            </w:r>
          </w:p>
        </w:tc>
        <w:tc>
          <w:tcPr>
            <w:tcW w:w="1517" w:type="pct"/>
            <w:shd w:val="clear" w:color="auto" w:fill="FFFFFF"/>
          </w:tcPr>
          <w:p w14:paraId="7B25FB7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服务热情、主动，耐心解答疑问，虚心接受意见。</w:t>
            </w:r>
          </w:p>
        </w:tc>
        <w:tc>
          <w:tcPr>
            <w:tcW w:w="363" w:type="pct"/>
            <w:shd w:val="clear" w:color="auto" w:fill="FFFFFF"/>
            <w:vAlign w:val="center"/>
          </w:tcPr>
          <w:p w14:paraId="51B79E99">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1595" w:type="pct"/>
            <w:shd w:val="clear" w:color="auto" w:fill="FFFFFF"/>
            <w:vAlign w:val="center"/>
          </w:tcPr>
          <w:p w14:paraId="3277643E">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服务态度好，医患及院内科室反映良好，得3分。接到有效投诉一次，扣1-3分。</w:t>
            </w:r>
          </w:p>
        </w:tc>
        <w:tc>
          <w:tcPr>
            <w:tcW w:w="269" w:type="pct"/>
          </w:tcPr>
          <w:p w14:paraId="271BF46E">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0C5CCC84">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59C7E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724C434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4.2</w:t>
            </w:r>
          </w:p>
        </w:tc>
        <w:tc>
          <w:tcPr>
            <w:tcW w:w="538" w:type="pct"/>
            <w:shd w:val="clear" w:color="auto" w:fill="FFFFFF"/>
            <w:vAlign w:val="center"/>
          </w:tcPr>
          <w:p w14:paraId="74BA9094">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沟通协调</w:t>
            </w:r>
          </w:p>
        </w:tc>
        <w:tc>
          <w:tcPr>
            <w:tcW w:w="1517" w:type="pct"/>
            <w:shd w:val="clear" w:color="auto" w:fill="FFFFFF"/>
          </w:tcPr>
          <w:p w14:paraId="5EF71BD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与医院后勤管理部门及使用科室保持良好沟通，重要事项及时汇报，积极配合医院工作安排。</w:t>
            </w:r>
          </w:p>
        </w:tc>
        <w:tc>
          <w:tcPr>
            <w:tcW w:w="363" w:type="pct"/>
            <w:shd w:val="clear" w:color="auto" w:fill="FFFFFF"/>
            <w:vAlign w:val="center"/>
          </w:tcPr>
          <w:p w14:paraId="31CD044E">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1595" w:type="pct"/>
            <w:shd w:val="clear" w:color="auto" w:fill="FFFFFF"/>
            <w:vAlign w:val="center"/>
          </w:tcPr>
          <w:p w14:paraId="6E9DE5F9">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沟通顺畅，配合积极，得3分。重要事项未及时汇报或配合不力，扣1-3分。</w:t>
            </w:r>
          </w:p>
        </w:tc>
        <w:tc>
          <w:tcPr>
            <w:tcW w:w="269" w:type="pct"/>
          </w:tcPr>
          <w:p w14:paraId="3D833DE1">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04FE0BA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10E4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64A9450A">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4.3</w:t>
            </w:r>
          </w:p>
        </w:tc>
        <w:tc>
          <w:tcPr>
            <w:tcW w:w="538" w:type="pct"/>
            <w:shd w:val="clear" w:color="auto" w:fill="FFFFFF"/>
            <w:vAlign w:val="center"/>
          </w:tcPr>
          <w:p w14:paraId="31AA34E5">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投诉处理</w:t>
            </w:r>
          </w:p>
        </w:tc>
        <w:tc>
          <w:tcPr>
            <w:tcW w:w="1517" w:type="pct"/>
            <w:shd w:val="clear" w:color="auto" w:fill="FFFFFF"/>
          </w:tcPr>
          <w:p w14:paraId="7743E674">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对医院提出的投诉或异议，能及时响应并妥善处理。</w:t>
            </w:r>
          </w:p>
        </w:tc>
        <w:tc>
          <w:tcPr>
            <w:tcW w:w="363" w:type="pct"/>
            <w:shd w:val="clear" w:color="auto" w:fill="FFFFFF"/>
            <w:vAlign w:val="center"/>
          </w:tcPr>
          <w:p w14:paraId="298E026D">
            <w:pPr>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1595" w:type="pct"/>
            <w:shd w:val="clear" w:color="auto" w:fill="FFFFFF"/>
            <w:vAlign w:val="center"/>
          </w:tcPr>
          <w:p w14:paraId="77CC0C40">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投诉处理及时、满意，得3分。投诉处理不及时或处理结果不满意，扣1-3分。</w:t>
            </w:r>
          </w:p>
        </w:tc>
        <w:tc>
          <w:tcPr>
            <w:tcW w:w="269" w:type="pct"/>
          </w:tcPr>
          <w:p w14:paraId="6251E2A7">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7DFDD746">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5246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 w:type="pct"/>
            <w:vAlign w:val="center"/>
          </w:tcPr>
          <w:p w14:paraId="1D6A3ABB">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default"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4.4</w:t>
            </w:r>
          </w:p>
        </w:tc>
        <w:tc>
          <w:tcPr>
            <w:tcW w:w="1524" w:type="dxa"/>
            <w:shd w:val="clear" w:color="auto" w:fill="FFFFFF"/>
            <w:vAlign w:val="top"/>
          </w:tcPr>
          <w:p w14:paraId="58A65FBD">
            <w:pPr>
              <w:pStyle w:val="11"/>
              <w:keepNext w:val="0"/>
              <w:keepLines w:val="0"/>
              <w:pageBreakBefore w:val="0"/>
              <w:widowControl w:val="0"/>
              <w:kinsoku/>
              <w:wordWrap/>
              <w:overflowPunct w:val="0"/>
              <w:topLinePunct w:val="0"/>
              <w:autoSpaceDE/>
              <w:autoSpaceDN/>
              <w:bidi w:val="0"/>
              <w:adjustRightInd/>
              <w:snapToGrid/>
              <w:spacing w:line="4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2"/>
                <w:szCs w:val="22"/>
                <w:highlight w:val="none"/>
                <w:vertAlign w:val="baseline"/>
                <w:lang w:val="en-US" w:eastAsia="zh-CN" w:bidi="ar-SA"/>
              </w:rPr>
              <w:t>满意度问卷</w:t>
            </w:r>
          </w:p>
        </w:tc>
        <w:tc>
          <w:tcPr>
            <w:tcW w:w="4298" w:type="dxa"/>
            <w:shd w:val="clear" w:color="auto" w:fill="FFFFFF"/>
            <w:vAlign w:val="top"/>
          </w:tcPr>
          <w:p w14:paraId="3AA74D73">
            <w:pPr>
              <w:pStyle w:val="11"/>
              <w:keepNext w:val="0"/>
              <w:keepLines w:val="0"/>
              <w:pageBreakBefore w:val="0"/>
              <w:widowControl w:val="0"/>
              <w:kinsoku/>
              <w:wordWrap/>
              <w:overflowPunct w:val="0"/>
              <w:topLinePunct w:val="0"/>
              <w:autoSpaceDE/>
              <w:autoSpaceDN/>
              <w:bidi w:val="0"/>
              <w:adjustRightInd/>
              <w:snapToGrid/>
              <w:spacing w:line="4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2"/>
                <w:szCs w:val="22"/>
                <w:highlight w:val="none"/>
                <w:vertAlign w:val="baseline"/>
                <w:lang w:val="en-US" w:eastAsia="zh-CN" w:bidi="ar-SA"/>
              </w:rPr>
              <w:t>参照满意度问卷调查表</w:t>
            </w:r>
          </w:p>
        </w:tc>
        <w:tc>
          <w:tcPr>
            <w:tcW w:w="1028" w:type="dxa"/>
            <w:shd w:val="clear" w:color="auto" w:fill="FFFFFF"/>
            <w:vAlign w:val="top"/>
          </w:tcPr>
          <w:p w14:paraId="4C2C7714">
            <w:pPr>
              <w:pStyle w:val="11"/>
              <w:keepNext w:val="0"/>
              <w:keepLines w:val="0"/>
              <w:pageBreakBefore w:val="0"/>
              <w:widowControl w:val="0"/>
              <w:kinsoku/>
              <w:wordWrap/>
              <w:overflowPunct w:val="0"/>
              <w:topLinePunct w:val="0"/>
              <w:autoSpaceDE/>
              <w:autoSpaceDN/>
              <w:bidi w:val="0"/>
              <w:adjustRightInd/>
              <w:snapToGrid/>
              <w:spacing w:line="4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1"/>
                <w:szCs w:val="21"/>
                <w:highlight w:val="none"/>
                <w:vertAlign w:val="baseline"/>
                <w:lang w:val="en-US" w:eastAsia="zh-CN" w:bidi="ar-SA"/>
              </w:rPr>
              <w:t>10</w:t>
            </w:r>
          </w:p>
        </w:tc>
        <w:tc>
          <w:tcPr>
            <w:tcW w:w="4519" w:type="dxa"/>
            <w:shd w:val="clear" w:color="auto" w:fill="FFFFFF"/>
            <w:vAlign w:val="top"/>
          </w:tcPr>
          <w:p w14:paraId="006DC3F5">
            <w:pPr>
              <w:pStyle w:val="11"/>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每月发放10分问卷，结果不满意扣1—10分。</w:t>
            </w:r>
          </w:p>
        </w:tc>
        <w:tc>
          <w:tcPr>
            <w:tcW w:w="269" w:type="pct"/>
          </w:tcPr>
          <w:p w14:paraId="7EBE1128">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503" w:type="pct"/>
          </w:tcPr>
          <w:p w14:paraId="7BC36BA2">
            <w:pPr>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288C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5000" w:type="pct"/>
            <w:gridSpan w:val="7"/>
          </w:tcPr>
          <w:p w14:paraId="52EE6A27">
            <w:pPr>
              <w:keepNext w:val="0"/>
              <w:keepLines w:val="0"/>
              <w:pageBreakBefore w:val="0"/>
              <w:widowControl/>
              <w:suppressLineNumbers w:val="0"/>
              <w:shd w:val="clear" w:fill="FFFFFF"/>
              <w:kinsoku/>
              <w:wordWrap/>
              <w:topLinePunct w:val="0"/>
              <w:autoSpaceDE/>
              <w:autoSpaceDN/>
              <w:bidi w:val="0"/>
              <w:adjustRightInd/>
              <w:snapToGrid/>
              <w:spacing w:before="0" w:beforeAutospacing="0" w:after="105" w:afterAutospacing="0" w:line="360" w:lineRule="exact"/>
              <w:ind w:left="0" w:right="0" w:firstLine="0"/>
              <w:jc w:val="left"/>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注：</w:t>
            </w:r>
          </w:p>
          <w:p w14:paraId="2CA76177">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1.本考核表将作为月度服务费用支付、合同续签及年度评价的重要依据。</w:t>
            </w:r>
          </w:p>
          <w:p w14:paraId="7F699542">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4"/>
                <w:szCs w:val="24"/>
                <w:highlight w:val="none"/>
                <w:vertAlign w:val="baseline"/>
                <w:lang w:val="en-US" w:eastAsia="zh-CN" w:bidi="ar-SA"/>
              </w:rPr>
              <w:t>2.</w:t>
            </w:r>
            <w:r>
              <w:rPr>
                <w:rFonts w:hint="eastAsia" w:ascii="仿宋" w:hAnsi="仿宋" w:eastAsia="仿宋" w:cs="仿宋"/>
                <w:color w:val="auto"/>
                <w:kern w:val="0"/>
                <w:sz w:val="21"/>
                <w:szCs w:val="21"/>
                <w:highlight w:val="none"/>
                <w:vertAlign w:val="baseline"/>
                <w:lang w:val="en-US" w:eastAsia="zh-CN" w:bidi="ar-SA"/>
              </w:rPr>
              <w:t>“扣分原因及事实描述”栏应具体、客观，必要时可附照片、记录等佐证材料。</w:t>
            </w:r>
          </w:p>
          <w:p w14:paraId="3681813C">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4"/>
                <w:szCs w:val="24"/>
                <w:highlight w:val="none"/>
                <w:vertAlign w:val="baseline"/>
                <w:lang w:val="en-US" w:eastAsia="zh-CN" w:bidi="ar-SA"/>
              </w:rPr>
              <w:t>3.</w:t>
            </w:r>
            <w:r>
              <w:rPr>
                <w:rFonts w:hint="eastAsia" w:ascii="仿宋" w:hAnsi="仿宋" w:eastAsia="仿宋" w:cs="仿宋"/>
                <w:color w:val="auto"/>
                <w:kern w:val="0"/>
                <w:sz w:val="21"/>
                <w:szCs w:val="21"/>
                <w:highlight w:val="none"/>
                <w:vertAlign w:val="baseline"/>
                <w:lang w:val="en-US" w:eastAsia="zh-CN" w:bidi="ar-SA"/>
              </w:rPr>
              <w:t>对于严重违反合同约定或造成重大损失的情况，除扣分外，医院有权依据合同条款采取进一步措施。</w:t>
            </w:r>
          </w:p>
          <w:p w14:paraId="0DDE7963">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right="0" w:right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考核结果应用：</w:t>
            </w:r>
          </w:p>
          <w:p w14:paraId="62E2551F">
            <w:pPr>
              <w:widowControl w:val="0"/>
              <w:ind w:firstLine="420" w:firstLineChars="200"/>
              <w:jc w:val="left"/>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95-100分：付当月服务费100％；</w:t>
            </w:r>
          </w:p>
          <w:p w14:paraId="0A2FB4B4">
            <w:pPr>
              <w:widowControl w:val="0"/>
              <w:ind w:firstLine="420" w:firstLineChars="200"/>
              <w:jc w:val="left"/>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94分（含）及以下：每低1分，按当月服务费扣除0.5％，并限期整改；</w:t>
            </w:r>
          </w:p>
          <w:p w14:paraId="0D80761D">
            <w:pPr>
              <w:widowControl w:val="0"/>
              <w:ind w:firstLine="420" w:firstLineChars="200"/>
              <w:jc w:val="left"/>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85-70分（含）：每低1分，按当月服务费扣除0.5％，约谈服务单位负责人；</w:t>
            </w:r>
          </w:p>
          <w:p w14:paraId="23B46D41">
            <w:pPr>
              <w:widowControl w:val="0"/>
              <w:ind w:firstLine="420" w:firstLineChars="200"/>
              <w:jc w:val="left"/>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kern w:val="0"/>
                <w:sz w:val="21"/>
                <w:szCs w:val="21"/>
                <w:highlight w:val="none"/>
                <w:vertAlign w:val="baseline"/>
                <w:lang w:val="en-US" w:eastAsia="zh-CN" w:bidi="ar-SA"/>
              </w:rPr>
              <w:t>＜70分：暂停付款，启动合同终止流程。</w:t>
            </w:r>
          </w:p>
        </w:tc>
      </w:tr>
    </w:tbl>
    <w:p w14:paraId="2A8DE307">
      <w:pPr>
        <w:pStyle w:val="11"/>
        <w:keepNext w:val="0"/>
        <w:keepLines w:val="0"/>
        <w:pageBreakBefore w:val="0"/>
        <w:widowControl w:val="0"/>
        <w:kinsoku/>
        <w:wordWrap/>
        <w:overflowPunct w:val="0"/>
        <w:topLinePunct w:val="0"/>
        <w:autoSpaceDE/>
        <w:autoSpaceDN/>
        <w:bidi w:val="0"/>
        <w:adjustRightInd/>
        <w:snapToGrid/>
        <w:spacing w:line="460" w:lineRule="exact"/>
        <w:textAlignment w:val="auto"/>
        <w:rPr>
          <w:rFonts w:hint="eastAsia" w:ascii="仿宋" w:hAnsi="仿宋" w:eastAsia="仿宋" w:cs="仿宋"/>
          <w:color w:val="auto"/>
          <w:kern w:val="0"/>
          <w:sz w:val="22"/>
          <w:szCs w:val="22"/>
          <w:highlight w:val="none"/>
          <w:lang w:val="en-US" w:eastAsia="zh-CN" w:bidi="ar-SA"/>
        </w:rPr>
      </w:pPr>
    </w:p>
    <w:p w14:paraId="2CAE1A83"/>
    <w:sectPr>
      <w:headerReference r:id="rId8" w:type="default"/>
      <w:footerReference r:id="rId9"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632A9">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78189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A78189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2EB11">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C775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B1C775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3178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B1C14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5B1C14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3A2B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88D2BE">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88D2BE">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48A0B">
    <w:pPr>
      <w:pStyle w:val="6"/>
      <w:jc w:val="both"/>
      <w:rPr>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04D2C">
    <w:pPr>
      <w:pStyle w:val="6"/>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E6E53">
    <w:pPr>
      <w:pStyle w:val="6"/>
      <w:jc w:val="both"/>
      <w:rPr>
        <w:u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86EC6"/>
    <w:rsid w:val="221E65BE"/>
    <w:rsid w:val="55286EC6"/>
    <w:rsid w:val="7F04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Body Text"/>
    <w:basedOn w:val="1"/>
    <w:qFormat/>
    <w:uiPriority w:val="0"/>
    <w:pPr>
      <w:jc w:val="left"/>
    </w:pPr>
    <w:rPr>
      <w:rFonts w:ascii="Copperplate Gothic Bold" w:hAnsi="Copperplate Gothic Bold"/>
      <w:sz w:val="28"/>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6205</Words>
  <Characters>6436</Characters>
  <Lines>0</Lines>
  <Paragraphs>0</Paragraphs>
  <TotalTime>0</TotalTime>
  <ScaleCrop>false</ScaleCrop>
  <LinksUpToDate>false</LinksUpToDate>
  <CharactersWithSpaces>6538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2025-10-13T14:10:00Z</dcterms:created>
  <dc:creator>Zhe</dc:creator>
  <cp:lastModifiedBy>Zhe</cp:lastModifiedBy>
  <dcterms:modified xsi:type="dcterms:W3CDTF">2025-10-14T16:19:25Z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DFC4A92A132840CBA70A04FAD0E0D6EA_11</vt:lpwstr>
  </property>
  <property fmtid="{D5CDD505-2E9C-101B-9397-08002B2CF9AE}" pid="4" name="KSOTemplateDocerSaveRecord">
    <vt:lpwstr>eyJoZGlkIjoiMmIwNGMxNTY3YTJkOTRhNjc1NWU4ZTFhZGVjOGI4ZDYiLCJ1c2VySWQiOiI1NjcyMjgyNzYifQ==</vt:lpwstr>
  </property>
</Properties>
</file>