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版本号：SXKR2025104920251021001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陕西省非道路移动机械排放远程监控系统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SXKR20251049</w:t>
      </w:r>
      <w:r>
        <w:br/>
      </w:r>
      <w:r>
        <w:br/>
      </w:r>
      <w:r>
        <w:br/>
      </w:r>
    </w:p>
    <w:p>
      <w:pPr>
        <w:pStyle w:val="null3"/>
        <w:jc w:val="center"/>
        <w:outlineLvl w:val="2"/>
      </w:pPr>
      <w:r>
        <w:rPr>
          <w:rFonts w:ascii="仿宋_GB2312" w:hAnsi="仿宋_GB2312" w:cs="仿宋_GB2312" w:eastAsia="仿宋_GB2312"/>
          <w:sz w:val="28"/>
          <w:b/>
        </w:rPr>
        <w:t>陕西省环境信息中心</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陕西省环境信息中心</w:t>
      </w:r>
      <w:r>
        <w:rPr>
          <w:rFonts w:ascii="仿宋_GB2312" w:hAnsi="仿宋_GB2312" w:cs="仿宋_GB2312" w:eastAsia="仿宋_GB2312"/>
        </w:rPr>
        <w:t>委托，拟对</w:t>
      </w:r>
      <w:r>
        <w:rPr>
          <w:rFonts w:ascii="仿宋_GB2312" w:hAnsi="仿宋_GB2312" w:cs="仿宋_GB2312" w:eastAsia="仿宋_GB2312"/>
        </w:rPr>
        <w:t>陕西省非道路移动机械排放远程监控系统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SXKR20251049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陕西省非道路移动机械排放远程监控系统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非道路移动机械排放远程监控系统，1套，根据工作需要，采购人拟采购一套监控系统用于建设省级非道路移动机械排放远程监控系统，满足国四标准对于非道路移动机械相关监测要求，具备数据采集、数据分析、数据计算、数据展示、数据监控及预警等功能，结合GIS地图实时展现。利用该系统平台输出的相关统计数据，为非道路移动机械环境监管、排放水平评估、政策措施制定等工作提供基础数据支撑。具体详见招标文件第三章招标项目技术、服务、商务及其他要求，具体以招标文件全部内容要求为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联关系：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p>
      <w:pPr>
        <w:pStyle w:val="null3"/>
      </w:pPr>
      <w:r>
        <w:rPr>
          <w:rFonts w:ascii="仿宋_GB2312" w:hAnsi="仿宋_GB2312" w:cs="仿宋_GB2312" w:eastAsia="仿宋_GB2312"/>
        </w:rPr>
        <w:t>2、是否接受联合体投标：本项目不接受联合体投标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陕西省环境信息中心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陕西省西安市西影路112号环保大厦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029-85429312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姚瑶、王昭、刘昆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13379227713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029-87611715、029-68936154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按中标金额作为收费的计算基数，收取标准参照国家计委颁发的《招标代理服务收费管理暂行办法》（计价格[2002]1980号）和国家发展改革委员会办公厅颁发的《关于招标代理服务收费有关问题的通知》（发改办价格[2003]857号）的有关规定向采购代理机构一次付清代理服务费。（招标代理服务费在缴付时需备注xxxx项目简称+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陕西省环境信息中心</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陕西省环境信息中心</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陕西省环境信息中心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联系人：姚瑶、刘昆</w:t>
      </w:r>
    </w:p>
    <w:p>
      <w:pPr>
        <w:pStyle w:val="null3"/>
      </w:pPr>
      <w:r>
        <w:rPr>
          <w:rFonts w:ascii="仿宋_GB2312" w:hAnsi="仿宋_GB2312" w:cs="仿宋_GB2312" w:eastAsia="仿宋_GB2312"/>
        </w:rPr>
        <w:t>联系电话：13379227713</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非道路移动机械排放远程监控系统，1套，根据工作需要，采购人拟采购一套监控系统用于建设省级非道路移动机械排放远程监控系统，满足国四标准对于非道路移动机械相关监测要求，具备数据采集、数据分析、数据计算、数据展示、数据监控及预警等功能，结合GIS地图实时展现。利用该系统平台输出的相关统计数据，为非道路移动机械环境监管、排放水平评估、政策措施制定等工作提供基础数据支撑。具体详见招标文件第三章招标项目技术、服务、商务及其他要求，具体以招标文件全部内容要求为准。</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1,730,000.00</w:t>
      </w:r>
    </w:p>
    <w:p>
      <w:pPr>
        <w:pStyle w:val="null3"/>
      </w:pPr>
      <w:r>
        <w:rPr>
          <w:rFonts w:ascii="仿宋_GB2312" w:hAnsi="仿宋_GB2312" w:cs="仿宋_GB2312" w:eastAsia="仿宋_GB2312"/>
        </w:rPr>
        <w:t>采购包最高限价（元）: 1,730,000.00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应用软甲</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标的名称：应用软甲</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w:t>
            </w:r>
            <w:r>
              <w:rPr>
                <w:rFonts w:ascii="仿宋_GB2312" w:hAnsi="仿宋_GB2312" w:cs="仿宋_GB2312" w:eastAsia="仿宋_GB2312"/>
                <w:b/>
              </w:rPr>
              <w:t>建设内容</w:t>
            </w:r>
          </w:p>
          <w:p>
            <w:pPr>
              <w:pStyle w:val="null3"/>
            </w:pPr>
            <w:r>
              <w:rPr>
                <w:rFonts w:ascii="仿宋_GB2312" w:hAnsi="仿宋_GB2312" w:cs="仿宋_GB2312" w:eastAsia="仿宋_GB2312"/>
              </w:rPr>
              <w:t>（一）系统功能</w:t>
            </w:r>
          </w:p>
          <w:p>
            <w:pPr>
              <w:pStyle w:val="null3"/>
            </w:pPr>
            <w:r>
              <w:rPr>
                <w:rFonts w:ascii="仿宋_GB2312" w:hAnsi="仿宋_GB2312" w:cs="仿宋_GB2312" w:eastAsia="仿宋_GB2312"/>
              </w:rPr>
              <w:t>▲1.数据接收</w:t>
            </w:r>
            <w:r>
              <w:br/>
            </w:r>
            <w:r>
              <w:rPr>
                <w:rFonts w:ascii="仿宋_GB2312" w:hAnsi="仿宋_GB2312" w:cs="仿宋_GB2312" w:eastAsia="仿宋_GB2312"/>
              </w:rPr>
              <w:t xml:space="preserve"> 支持HJ1014/HJ1322标准协议接收，并对接收到的原始报文数据进行解析、计算、存储。</w:t>
            </w:r>
            <w:r>
              <w:br/>
            </w:r>
            <w:r>
              <w:rPr>
                <w:rFonts w:ascii="仿宋_GB2312" w:hAnsi="仿宋_GB2312" w:cs="仿宋_GB2312" w:eastAsia="仿宋_GB2312"/>
              </w:rPr>
              <w:t xml:space="preserve"> ▲2.数据查询</w:t>
            </w:r>
          </w:p>
          <w:p>
            <w:pPr>
              <w:pStyle w:val="null3"/>
            </w:pPr>
            <w:r>
              <w:rPr>
                <w:rFonts w:ascii="仿宋_GB2312" w:hAnsi="仿宋_GB2312" w:cs="仿宋_GB2312" w:eastAsia="仿宋_GB2312"/>
              </w:rPr>
              <w:t>支持查询机械实时数据，包括机械登录信息、定位信息、发动机信息、统计周期信息、诊断信息以及拆除报警信息。支持查询历史数据以及原始数据报文。</w:t>
            </w:r>
          </w:p>
          <w:p>
            <w:pPr>
              <w:pStyle w:val="null3"/>
            </w:pPr>
            <w:r>
              <w:rPr>
                <w:rFonts w:ascii="仿宋_GB2312" w:hAnsi="仿宋_GB2312" w:cs="仿宋_GB2312" w:eastAsia="仿宋_GB2312"/>
              </w:rPr>
              <w:t>▲3.数据可视化展示</w:t>
            </w:r>
          </w:p>
          <w:p>
            <w:pPr>
              <w:pStyle w:val="null3"/>
            </w:pPr>
            <w:r>
              <w:rPr>
                <w:rFonts w:ascii="仿宋_GB2312" w:hAnsi="仿宋_GB2312" w:cs="仿宋_GB2312" w:eastAsia="仿宋_GB2312"/>
              </w:rPr>
              <w:t>统计机械整体月度运行趋势变化和日度在线情况，按照工程机械和农业机械分别统计分析工况以及排放总体情况；其中工况分析包含机械运行数量分析以及运行时长分析；排放分析包含区域排放氮氧、二氧化碳排放总量分析、平均排放趋势分析及日均排放分布分析。</w:t>
            </w:r>
          </w:p>
          <w:p>
            <w:pPr>
              <w:pStyle w:val="null3"/>
            </w:pPr>
            <w:r>
              <w:rPr>
                <w:rFonts w:ascii="仿宋_GB2312" w:hAnsi="仿宋_GB2312" w:cs="仿宋_GB2312" w:eastAsia="仿宋_GB2312"/>
              </w:rPr>
              <w:t>▲4.机械监控</w:t>
            </w:r>
          </w:p>
          <w:p>
            <w:pPr>
              <w:pStyle w:val="null3"/>
            </w:pPr>
            <w:r>
              <w:rPr>
                <w:rFonts w:ascii="仿宋_GB2312" w:hAnsi="仿宋_GB2312" w:cs="仿宋_GB2312" w:eastAsia="仿宋_GB2312"/>
              </w:rPr>
              <w:t>对机械进行GIS聚合显示，可追踪单机实时位置并展示机械编码登记情况、静态信息及动态数据。</w:t>
            </w:r>
          </w:p>
          <w:p>
            <w:pPr>
              <w:pStyle w:val="null3"/>
            </w:pPr>
            <w:r>
              <w:rPr>
                <w:rFonts w:ascii="仿宋_GB2312" w:hAnsi="仿宋_GB2312" w:cs="仿宋_GB2312" w:eastAsia="仿宋_GB2312"/>
              </w:rPr>
              <w:t>▲5.异常线索管理</w:t>
            </w:r>
          </w:p>
          <w:p>
            <w:pPr>
              <w:pStyle w:val="null3"/>
            </w:pPr>
            <w:r>
              <w:rPr>
                <w:rFonts w:ascii="仿宋_GB2312" w:hAnsi="仿宋_GB2312" w:cs="仿宋_GB2312" w:eastAsia="仿宋_GB2312"/>
              </w:rPr>
              <w:t>平台通过远程监控数据统计分析机械离线、故障、高排放及编码登记异常情况，输出异常机械报表，支持管理决策。</w:t>
            </w:r>
          </w:p>
          <w:p>
            <w:pPr>
              <w:pStyle w:val="null3"/>
            </w:pPr>
            <w:r>
              <w:rPr>
                <w:rFonts w:ascii="仿宋_GB2312" w:hAnsi="仿宋_GB2312" w:cs="仿宋_GB2312" w:eastAsia="仿宋_GB2312"/>
              </w:rPr>
              <w:t>6.机械档案综合查询管理</w:t>
            </w:r>
          </w:p>
          <w:p>
            <w:pPr>
              <w:pStyle w:val="null3"/>
            </w:pPr>
            <w:r>
              <w:rPr>
                <w:rFonts w:ascii="仿宋_GB2312" w:hAnsi="仿宋_GB2312" w:cs="仿宋_GB2312" w:eastAsia="仿宋_GB2312"/>
              </w:rPr>
              <w:t>支持机械信息归档，对机械的实时数据、静态信息、历史异常情况汇总成机械档案并支持综合查询管理。</w:t>
            </w:r>
          </w:p>
          <w:p>
            <w:pPr>
              <w:pStyle w:val="null3"/>
            </w:pPr>
            <w:r>
              <w:rPr>
                <w:rFonts w:ascii="仿宋_GB2312" w:hAnsi="仿宋_GB2312" w:cs="仿宋_GB2312" w:eastAsia="仿宋_GB2312"/>
              </w:rPr>
              <w:t>7.报表管理</w:t>
            </w:r>
          </w:p>
          <w:p>
            <w:pPr>
              <w:pStyle w:val="null3"/>
            </w:pPr>
            <w:r>
              <w:rPr>
                <w:rFonts w:ascii="仿宋_GB2312" w:hAnsi="仿宋_GB2312" w:cs="仿宋_GB2312" w:eastAsia="仿宋_GB2312"/>
              </w:rPr>
              <w:t>系统可基于单个机械远程监控数据统计分析形成的关键指标，以月度、年度周期输出机械工况以及排放的相关统计分析报表。</w:t>
            </w:r>
          </w:p>
          <w:p>
            <w:pPr>
              <w:pStyle w:val="null3"/>
            </w:pPr>
            <w:r>
              <w:rPr>
                <w:rFonts w:ascii="仿宋_GB2312" w:hAnsi="仿宋_GB2312" w:cs="仿宋_GB2312" w:eastAsia="仿宋_GB2312"/>
              </w:rPr>
              <w:t>8.系统管理</w:t>
            </w:r>
          </w:p>
          <w:p>
            <w:pPr>
              <w:pStyle w:val="null3"/>
            </w:pPr>
            <w:r>
              <w:rPr>
                <w:rFonts w:ascii="仿宋_GB2312" w:hAnsi="仿宋_GB2312" w:cs="仿宋_GB2312" w:eastAsia="仿宋_GB2312"/>
              </w:rPr>
              <w:t>系统管理包含账号管理、权限管理、日志管理以及任务监控。</w:t>
            </w:r>
          </w:p>
          <w:p>
            <w:pPr>
              <w:pStyle w:val="null3"/>
            </w:pPr>
            <w:r>
              <w:rPr>
                <w:rFonts w:ascii="仿宋_GB2312" w:hAnsi="仿宋_GB2312" w:cs="仿宋_GB2312" w:eastAsia="仿宋_GB2312"/>
              </w:rPr>
              <w:t>9.系统集成</w:t>
            </w:r>
          </w:p>
          <w:p>
            <w:pPr>
              <w:pStyle w:val="null3"/>
            </w:pPr>
            <w:r>
              <w:rPr>
                <w:rFonts w:ascii="仿宋_GB2312" w:hAnsi="仿宋_GB2312" w:cs="仿宋_GB2312" w:eastAsia="仿宋_GB2312"/>
              </w:rPr>
              <w:t xml:space="preserve"> 与采购人其他移动源监管业务系统（重型车排放远程监控系统、重点行业企业门禁联网系统）集成。</w:t>
            </w:r>
          </w:p>
          <w:p>
            <w:pPr>
              <w:pStyle w:val="null3"/>
            </w:pPr>
            <w:r>
              <w:rPr>
                <w:rFonts w:ascii="仿宋_GB2312" w:hAnsi="仿宋_GB2312" w:cs="仿宋_GB2312" w:eastAsia="仿宋_GB2312"/>
              </w:rPr>
              <w:t>（二）系统需要满足的通用要求：</w:t>
            </w:r>
          </w:p>
          <w:p>
            <w:pPr>
              <w:pStyle w:val="null3"/>
            </w:pPr>
            <w:r>
              <w:rPr>
                <w:rFonts w:ascii="仿宋_GB2312" w:hAnsi="仿宋_GB2312" w:cs="仿宋_GB2312" w:eastAsia="仿宋_GB2312"/>
              </w:rPr>
              <w:t>1、系统性能要求（不包含（一）中第9项集成的其他业务系统）</w:t>
            </w:r>
          </w:p>
          <w:p>
            <w:pPr>
              <w:pStyle w:val="null3"/>
            </w:pPr>
            <w:r>
              <w:rPr>
                <w:rFonts w:ascii="仿宋_GB2312" w:hAnsi="仿宋_GB2312" w:cs="仿宋_GB2312" w:eastAsia="仿宋_GB2312"/>
              </w:rPr>
              <w:t>1）可靠性：系统需提供7*24的不间断服务。</w:t>
            </w:r>
          </w:p>
          <w:p>
            <w:pPr>
              <w:pStyle w:val="null3"/>
            </w:pPr>
            <w:r>
              <w:rPr>
                <w:rFonts w:ascii="仿宋_GB2312" w:hAnsi="仿宋_GB2312" w:cs="仿宋_GB2312" w:eastAsia="仿宋_GB2312"/>
              </w:rPr>
              <w:t>2）查询响应：一般数据查询响应时间&lt;1秒。</w:t>
            </w:r>
          </w:p>
          <w:p>
            <w:pPr>
              <w:pStyle w:val="null3"/>
            </w:pPr>
            <w:r>
              <w:rPr>
                <w:rFonts w:ascii="仿宋_GB2312" w:hAnsi="仿宋_GB2312" w:cs="仿宋_GB2312" w:eastAsia="仿宋_GB2312"/>
              </w:rPr>
              <w:t>3）制表速度：一般固定表格制表不超过5秒钟，复杂统计汇集表格不超过5分钟。</w:t>
            </w:r>
          </w:p>
          <w:p>
            <w:pPr>
              <w:pStyle w:val="null3"/>
            </w:pPr>
            <w:r>
              <w:rPr>
                <w:rFonts w:ascii="仿宋_GB2312" w:hAnsi="仿宋_GB2312" w:cs="仿宋_GB2312" w:eastAsia="仿宋_GB2312"/>
              </w:rPr>
              <w:t>4）数据库并发：数据库支持超过50个用户的并发访问能力。</w:t>
            </w:r>
          </w:p>
          <w:p>
            <w:pPr>
              <w:pStyle w:val="null3"/>
            </w:pPr>
            <w:r>
              <w:rPr>
                <w:rFonts w:ascii="仿宋_GB2312" w:hAnsi="仿宋_GB2312" w:cs="仿宋_GB2312" w:eastAsia="仿宋_GB2312"/>
              </w:rPr>
              <w:t>5）访问并发：系统具备不少于100访问并发的能力。</w:t>
            </w:r>
          </w:p>
          <w:p>
            <w:pPr>
              <w:pStyle w:val="null3"/>
            </w:pPr>
            <w:r>
              <w:rPr>
                <w:rFonts w:ascii="仿宋_GB2312" w:hAnsi="仿宋_GB2312" w:cs="仿宋_GB2312" w:eastAsia="仿宋_GB2312"/>
              </w:rPr>
              <w:t>2、易用性要求</w:t>
            </w:r>
          </w:p>
          <w:p>
            <w:pPr>
              <w:pStyle w:val="null3"/>
            </w:pPr>
            <w:r>
              <w:rPr>
                <w:rFonts w:ascii="仿宋_GB2312" w:hAnsi="仿宋_GB2312" w:cs="仿宋_GB2312" w:eastAsia="仿宋_GB2312"/>
              </w:rPr>
              <w:t>项目建设成果应做到功能操作方便、界面易于理解、帮助支持到位，便于部署维护和升级。</w:t>
            </w:r>
          </w:p>
          <w:p>
            <w:pPr>
              <w:pStyle w:val="null3"/>
            </w:pPr>
            <w:r>
              <w:rPr>
                <w:rFonts w:ascii="仿宋_GB2312" w:hAnsi="仿宋_GB2312" w:cs="仿宋_GB2312" w:eastAsia="仿宋_GB2312"/>
              </w:rPr>
              <w:t>3、成熟度要求</w:t>
            </w:r>
          </w:p>
          <w:p>
            <w:pPr>
              <w:pStyle w:val="null3"/>
            </w:pPr>
            <w:r>
              <w:rPr>
                <w:rFonts w:ascii="仿宋_GB2312" w:hAnsi="仿宋_GB2312" w:cs="仿宋_GB2312" w:eastAsia="仿宋_GB2312"/>
              </w:rPr>
              <w:t>系统设计应采用成熟技术框架与模型，建设过程中采用业务化配置和敏捷开发，而非底层构建，以保证在要求的实施周期内完成建设任务。</w:t>
            </w:r>
          </w:p>
          <w:p>
            <w:pPr>
              <w:pStyle w:val="null3"/>
            </w:pPr>
            <w:r>
              <w:rPr>
                <w:rFonts w:ascii="仿宋_GB2312" w:hAnsi="仿宋_GB2312" w:cs="仿宋_GB2312" w:eastAsia="仿宋_GB2312"/>
              </w:rPr>
              <w:t>4、可扩展性要求</w:t>
            </w:r>
          </w:p>
          <w:p>
            <w:pPr>
              <w:pStyle w:val="null3"/>
            </w:pPr>
            <w:r>
              <w:rPr>
                <w:rFonts w:ascii="仿宋_GB2312" w:hAnsi="仿宋_GB2312" w:cs="仿宋_GB2312" w:eastAsia="仿宋_GB2312"/>
              </w:rPr>
              <w:t>系统具有开放性，应充分考虑应用功能、数据及网络硬件的扩展，提供系统数据库接口，方便地与其他应用系统进行数据集成交换。</w:t>
            </w:r>
          </w:p>
          <w:p>
            <w:pPr>
              <w:pStyle w:val="null3"/>
            </w:pPr>
            <w:r>
              <w:rPr>
                <w:rFonts w:ascii="仿宋_GB2312" w:hAnsi="仿宋_GB2312" w:cs="仿宋_GB2312" w:eastAsia="仿宋_GB2312"/>
              </w:rPr>
              <w:t>5、技术架构组件要求</w:t>
            </w:r>
          </w:p>
          <w:p>
            <w:pPr>
              <w:pStyle w:val="null3"/>
            </w:pPr>
            <w:r>
              <w:rPr>
                <w:rFonts w:ascii="仿宋_GB2312" w:hAnsi="仿宋_GB2312" w:cs="仿宋_GB2312" w:eastAsia="仿宋_GB2312"/>
              </w:rPr>
              <w:t>系统架构须基于国产化核心组件构建高可靠数据处理架构，对应用系统涉及的服务器操作系统、数据库、中间件均采用国产自主品牌产品。</w:t>
            </w:r>
          </w:p>
          <w:p>
            <w:pPr>
              <w:pStyle w:val="null3"/>
            </w:pPr>
            <w:r>
              <w:rPr>
                <w:rFonts w:ascii="仿宋_GB2312" w:hAnsi="仿宋_GB2312" w:cs="仿宋_GB2312" w:eastAsia="仿宋_GB2312"/>
              </w:rPr>
              <w:t>6、应用支撑软件要求</w:t>
            </w:r>
          </w:p>
          <w:p>
            <w:pPr>
              <w:pStyle w:val="null3"/>
            </w:pPr>
            <w:r>
              <w:rPr>
                <w:rFonts w:ascii="仿宋_GB2312" w:hAnsi="仿宋_GB2312" w:cs="仿宋_GB2312" w:eastAsia="仿宋_GB2312"/>
              </w:rPr>
              <w:t>开发中涉及到的数据库和中间件需完全满足国产自主可控要求，提供正版授权及3年技术支持服务；应用系统需支持麒麟V10操作系统。</w:t>
            </w:r>
          </w:p>
          <w:p>
            <w:pPr>
              <w:pStyle w:val="null3"/>
            </w:pPr>
            <w:r>
              <w:rPr>
                <w:rFonts w:ascii="仿宋_GB2312" w:hAnsi="仿宋_GB2312" w:cs="仿宋_GB2312" w:eastAsia="仿宋_GB2312"/>
              </w:rPr>
              <w:t>（三）系统测评测试要求</w:t>
            </w:r>
          </w:p>
          <w:p>
            <w:pPr>
              <w:pStyle w:val="null3"/>
            </w:pPr>
            <w:r>
              <w:rPr>
                <w:rFonts w:ascii="仿宋_GB2312" w:hAnsi="仿宋_GB2312" w:cs="仿宋_GB2312" w:eastAsia="仿宋_GB2312"/>
              </w:rPr>
              <w:t>测评测试要求：满足等保三级要求，完成第三方软件测试以及采购方组织的系统上线测试和商用密码应用安全性评估。</w:t>
            </w:r>
          </w:p>
          <w:p>
            <w:pPr>
              <w:pStyle w:val="null3"/>
            </w:pPr>
            <w:r>
              <w:rPr>
                <w:rFonts w:ascii="仿宋_GB2312" w:hAnsi="仿宋_GB2312" w:cs="仿宋_GB2312" w:eastAsia="仿宋_GB2312"/>
              </w:rPr>
              <w:t>二、其他要求</w:t>
            </w:r>
          </w:p>
          <w:p>
            <w:pPr>
              <w:pStyle w:val="null3"/>
            </w:pPr>
            <w:r>
              <w:rPr>
                <w:rFonts w:ascii="仿宋_GB2312" w:hAnsi="仿宋_GB2312" w:cs="仿宋_GB2312" w:eastAsia="仿宋_GB2312"/>
              </w:rPr>
              <w:t>（一）服务要求</w:t>
            </w:r>
          </w:p>
          <w:p>
            <w:pPr>
              <w:pStyle w:val="null3"/>
            </w:pPr>
            <w:r>
              <w:rPr>
                <w:rFonts w:ascii="仿宋_GB2312" w:hAnsi="仿宋_GB2312" w:cs="仿宋_GB2312" w:eastAsia="仿宋_GB2312"/>
              </w:rPr>
              <w:t>1、服务人员要求：</w:t>
            </w:r>
          </w:p>
          <w:p>
            <w:pPr>
              <w:pStyle w:val="null3"/>
            </w:pPr>
            <w:r>
              <w:rPr>
                <w:rFonts w:ascii="仿宋_GB2312" w:hAnsi="仿宋_GB2312" w:cs="仿宋_GB2312" w:eastAsia="仿宋_GB2312"/>
              </w:rPr>
              <w:t>投标人拟投入本项目人员团队不少于5人，提供人员管理及配备方案，项目经理具有一定的专业技术及管理知识和管理经验，保障系统交付质量。</w:t>
            </w:r>
          </w:p>
          <w:p>
            <w:pPr>
              <w:pStyle w:val="null3"/>
            </w:pPr>
            <w:r>
              <w:rPr>
                <w:rFonts w:ascii="仿宋_GB2312" w:hAnsi="仿宋_GB2312" w:cs="仿宋_GB2312" w:eastAsia="仿宋_GB2312"/>
              </w:rPr>
              <w:t>2、成果交付：</w:t>
            </w:r>
          </w:p>
          <w:p>
            <w:pPr>
              <w:pStyle w:val="null3"/>
            </w:pPr>
            <w:r>
              <w:rPr>
                <w:rFonts w:ascii="仿宋_GB2312" w:hAnsi="仿宋_GB2312" w:cs="仿宋_GB2312" w:eastAsia="仿宋_GB2312"/>
              </w:rPr>
              <w:t>（1）陕西省非道路移动机械排放远程监控系统软件1套，与对应平台系统原型、平台系统需求说明书、系统设计说明书、数据库设计说明书、用户使用手册各一份；</w:t>
            </w:r>
          </w:p>
          <w:p>
            <w:pPr>
              <w:pStyle w:val="null3"/>
            </w:pPr>
            <w:r>
              <w:rPr>
                <w:rFonts w:ascii="仿宋_GB2312" w:hAnsi="仿宋_GB2312" w:cs="仿宋_GB2312" w:eastAsia="仿宋_GB2312"/>
              </w:rPr>
              <w:t>（2）系统源代码及源代码审计报告</w:t>
            </w:r>
          </w:p>
          <w:p>
            <w:pPr>
              <w:pStyle w:val="null3"/>
            </w:pPr>
            <w:r>
              <w:rPr>
                <w:rFonts w:ascii="仿宋_GB2312" w:hAnsi="仿宋_GB2312" w:cs="仿宋_GB2312" w:eastAsia="仿宋_GB2312"/>
              </w:rPr>
              <w:t>3、质量保障：投标人应建立完善的质量控制体系，确保交付过程和交付成果符合国家、陕西省及行业相关规定，且内容真实、准确、完整。</w:t>
            </w:r>
          </w:p>
          <w:p>
            <w:pPr>
              <w:pStyle w:val="null3"/>
            </w:pPr>
            <w:r>
              <w:rPr>
                <w:rFonts w:ascii="仿宋_GB2312" w:hAnsi="仿宋_GB2312" w:cs="仿宋_GB2312" w:eastAsia="仿宋_GB2312"/>
              </w:rPr>
              <w:t>4、投标人对移动源环境管理体系有深刻理解，为采购人的系统开发匹配业务提供全过程咨询服务。具备移动源环境管理相关标准的研究和技术规范编制能力，有利于系统优化。</w:t>
            </w:r>
          </w:p>
          <w:p>
            <w:pPr>
              <w:pStyle w:val="null3"/>
            </w:pPr>
            <w:r>
              <w:rPr>
                <w:rFonts w:ascii="仿宋_GB2312" w:hAnsi="仿宋_GB2312" w:cs="仿宋_GB2312" w:eastAsia="仿宋_GB2312"/>
              </w:rPr>
              <w:t>5、保密要求：</w:t>
            </w:r>
          </w:p>
          <w:p>
            <w:pPr>
              <w:pStyle w:val="null3"/>
            </w:pPr>
            <w:r>
              <w:rPr>
                <w:rFonts w:ascii="仿宋_GB2312" w:hAnsi="仿宋_GB2312" w:cs="仿宋_GB2312" w:eastAsia="仿宋_GB2312"/>
              </w:rPr>
              <w:t>投标人应制定合理保密措施解决方案，确保项目团队对服务过程中接触的敏感信息和数据履行保密义务。本项目所形成的数据成果归采购人所有。未经采购人同意，投标人不得以商业目的使用该资料或者开发和生产其他产品。供应商需严格遵守国家保密法律法规及省厅相关保密规定。</w:t>
            </w:r>
          </w:p>
          <w:p>
            <w:pPr>
              <w:pStyle w:val="null3"/>
            </w:pPr>
            <w:r>
              <w:rPr>
                <w:rFonts w:ascii="仿宋_GB2312" w:hAnsi="仿宋_GB2312" w:cs="仿宋_GB2312" w:eastAsia="仿宋_GB2312"/>
              </w:rPr>
              <w:t>（二）商务要求</w:t>
            </w:r>
          </w:p>
          <w:p>
            <w:pPr>
              <w:pStyle w:val="null3"/>
            </w:pPr>
            <w:r>
              <w:rPr>
                <w:rFonts w:ascii="仿宋_GB2312" w:hAnsi="仿宋_GB2312" w:cs="仿宋_GB2312" w:eastAsia="仿宋_GB2312"/>
              </w:rPr>
              <w:t>1、交货期限及地点</w:t>
            </w:r>
          </w:p>
          <w:p>
            <w:pPr>
              <w:pStyle w:val="null3"/>
            </w:pPr>
            <w:r>
              <w:rPr>
                <w:rFonts w:ascii="仿宋_GB2312" w:hAnsi="仿宋_GB2312" w:cs="仿宋_GB2312" w:eastAsia="仿宋_GB2312"/>
              </w:rPr>
              <w:t>交货期限：合同签订之日起150日历日内完成交付、安装及调试。</w:t>
            </w:r>
          </w:p>
          <w:p>
            <w:pPr>
              <w:pStyle w:val="null3"/>
            </w:pPr>
            <w:r>
              <w:rPr>
                <w:rFonts w:ascii="仿宋_GB2312" w:hAnsi="仿宋_GB2312" w:cs="仿宋_GB2312" w:eastAsia="仿宋_GB2312"/>
              </w:rPr>
              <w:t>交货地点：采购人指定地点</w:t>
            </w:r>
          </w:p>
          <w:p>
            <w:pPr>
              <w:pStyle w:val="null3"/>
            </w:pPr>
            <w:r>
              <w:rPr>
                <w:rFonts w:ascii="仿宋_GB2312" w:hAnsi="仿宋_GB2312" w:cs="仿宋_GB2312" w:eastAsia="仿宋_GB2312"/>
              </w:rPr>
              <w:t>2、质保期：自项目验收合格之日起，中标供应商提供一年质保。</w:t>
            </w:r>
          </w:p>
          <w:p>
            <w:pPr>
              <w:pStyle w:val="null3"/>
            </w:pPr>
            <w:r>
              <w:rPr>
                <w:rFonts w:ascii="仿宋_GB2312" w:hAnsi="仿宋_GB2312" w:cs="仿宋_GB2312" w:eastAsia="仿宋_GB2312"/>
              </w:rPr>
              <w:t>3、售后服务要求：</w:t>
            </w:r>
          </w:p>
          <w:p>
            <w:pPr>
              <w:pStyle w:val="null3"/>
            </w:pPr>
            <w:r>
              <w:rPr>
                <w:rFonts w:ascii="仿宋_GB2312" w:hAnsi="仿宋_GB2312" w:cs="仿宋_GB2312" w:eastAsia="仿宋_GB2312"/>
              </w:rPr>
              <w:t>（1）供应商须提供7*24小时售后服务，支持多种形式技术服务，包含电话、电子邮件、远程连接、支持在线问题反馈等；支持同城4h、异地12h响应要求，两个工作日解决问题，对于未能解决的问题和故障提供可行的升级方案；</w:t>
            </w:r>
          </w:p>
          <w:p>
            <w:pPr>
              <w:pStyle w:val="null3"/>
            </w:pPr>
            <w:r>
              <w:rPr>
                <w:rFonts w:ascii="仿宋_GB2312" w:hAnsi="仿宋_GB2312" w:cs="仿宋_GB2312" w:eastAsia="仿宋_GB2312"/>
              </w:rPr>
              <w:t>（2）售后服务周期内支持版本免费升级；</w:t>
            </w:r>
          </w:p>
          <w:p>
            <w:pPr>
              <w:pStyle w:val="null3"/>
            </w:pPr>
            <w:r>
              <w:rPr>
                <w:rFonts w:ascii="仿宋_GB2312" w:hAnsi="仿宋_GB2312" w:cs="仿宋_GB2312" w:eastAsia="仿宋_GB2312"/>
              </w:rPr>
              <w:t>（3）供应商应为本项目配备相应的实施团队人员和售后服务人员，应具备良好的服务水平和应急处置能力，以确保交付按时完成。</w:t>
            </w:r>
          </w:p>
          <w:p>
            <w:pPr>
              <w:pStyle w:val="null3"/>
            </w:pPr>
            <w:r>
              <w:rPr>
                <w:rFonts w:ascii="仿宋_GB2312" w:hAnsi="仿宋_GB2312" w:cs="仿宋_GB2312" w:eastAsia="仿宋_GB2312"/>
              </w:rPr>
              <w:t>（4）供应商应制定合理可行的售后服务方案，通过优化组织程序，提高不可预见事件的处理效率、加强控制保障等多种手段，确保项目顺利进行。</w:t>
            </w:r>
          </w:p>
          <w:p>
            <w:pPr>
              <w:pStyle w:val="null3"/>
            </w:pPr>
            <w:r>
              <w:rPr>
                <w:rFonts w:ascii="仿宋_GB2312" w:hAnsi="仿宋_GB2312" w:cs="仿宋_GB2312" w:eastAsia="仿宋_GB2312"/>
              </w:rPr>
              <w:t>4、培训要求</w:t>
            </w:r>
          </w:p>
          <w:p>
            <w:pPr>
              <w:pStyle w:val="null3"/>
            </w:pPr>
            <w:r>
              <w:rPr>
                <w:rFonts w:ascii="仿宋_GB2312" w:hAnsi="仿宋_GB2312" w:cs="仿宋_GB2312" w:eastAsia="仿宋_GB2312"/>
              </w:rPr>
              <w:t>（1）项目通过最终验收后，在采购人指定地点，由供应商派专业技术人员对采购人的相关人员进行产品使用和操作的培训，培训所产生的所有费用由供应商承担。</w:t>
            </w:r>
          </w:p>
          <w:p>
            <w:pPr>
              <w:pStyle w:val="null3"/>
            </w:pPr>
            <w:r>
              <w:rPr>
                <w:rFonts w:ascii="仿宋_GB2312" w:hAnsi="仿宋_GB2312" w:cs="仿宋_GB2312" w:eastAsia="仿宋_GB2312"/>
              </w:rPr>
              <w:t>（2）培训效果达到采购人的使用人员能熟练使用产品及操作。</w:t>
            </w:r>
          </w:p>
          <w:p>
            <w:pPr>
              <w:pStyle w:val="null3"/>
            </w:pPr>
            <w:r>
              <w:rPr>
                <w:rFonts w:ascii="仿宋_GB2312" w:hAnsi="仿宋_GB2312" w:cs="仿宋_GB2312" w:eastAsia="仿宋_GB2312"/>
              </w:rPr>
              <w:t>（3）培训结束后，供应商须继续提供技术咨询服务。</w:t>
            </w:r>
          </w:p>
          <w:p>
            <w:pPr>
              <w:pStyle w:val="null3"/>
            </w:pPr>
            <w:r>
              <w:rPr>
                <w:rFonts w:ascii="仿宋_GB2312" w:hAnsi="仿宋_GB2312" w:cs="仿宋_GB2312" w:eastAsia="仿宋_GB2312"/>
              </w:rPr>
              <w:t>（4）培训期间的技术资料（包括但不限于培训材料、产品手册、培训视频等培训相关内容）由供应商提供。</w:t>
            </w:r>
          </w:p>
          <w:p>
            <w:pPr>
              <w:pStyle w:val="null3"/>
            </w:pPr>
            <w:r>
              <w:rPr>
                <w:rFonts w:ascii="仿宋_GB2312" w:hAnsi="仿宋_GB2312" w:cs="仿宋_GB2312" w:eastAsia="仿宋_GB2312"/>
              </w:rPr>
              <w:t>（5）提供产品的终身免费电话和邮件技术支持。</w:t>
            </w:r>
          </w:p>
          <w:p>
            <w:pPr>
              <w:pStyle w:val="null3"/>
            </w:pPr>
            <w:r>
              <w:rPr>
                <w:rFonts w:ascii="仿宋_GB2312" w:hAnsi="仿宋_GB2312" w:cs="仿宋_GB2312" w:eastAsia="仿宋_GB2312"/>
              </w:rPr>
              <w:t>5、验收要求</w:t>
            </w:r>
          </w:p>
          <w:p>
            <w:pPr>
              <w:pStyle w:val="null3"/>
            </w:pPr>
            <w:r>
              <w:rPr>
                <w:rFonts w:ascii="仿宋_GB2312" w:hAnsi="仿宋_GB2312" w:cs="仿宋_GB2312" w:eastAsia="仿宋_GB2312"/>
              </w:rPr>
              <w:t>中标供应商对各系统功能检查测试自检合格后，由采购人组织验收，中标供应商须配合提供相关的验收材料和验收文档。未通过验收的产品予以退回，由中标供应商承担相关责任，赔偿相关损失。</w:t>
            </w:r>
          </w:p>
          <w:p>
            <w:pPr>
              <w:pStyle w:val="null3"/>
            </w:pPr>
            <w:r>
              <w:rPr>
                <w:rFonts w:ascii="仿宋_GB2312" w:hAnsi="仿宋_GB2312" w:cs="仿宋_GB2312" w:eastAsia="仿宋_GB2312"/>
              </w:rPr>
              <w:t>（三）报价要求</w:t>
            </w:r>
          </w:p>
          <w:p>
            <w:pPr>
              <w:pStyle w:val="null3"/>
            </w:pPr>
            <w:r>
              <w:rPr>
                <w:rFonts w:ascii="仿宋_GB2312" w:hAnsi="仿宋_GB2312" w:cs="仿宋_GB2312" w:eastAsia="仿宋_GB2312"/>
              </w:rPr>
              <w:t>投标人的投标报价应包括完成本项目供货及安装调试、上线运营等完成本项目全部费用，投标人对报价的准确性负责，任何漏报、错报等风险均由投标人自行承担。</w:t>
            </w:r>
          </w:p>
          <w:p>
            <w:pPr>
              <w:pStyle w:val="null3"/>
            </w:pPr>
            <w:r>
              <w:rPr>
                <w:rFonts w:ascii="仿宋_GB2312" w:hAnsi="仿宋_GB2312" w:cs="仿宋_GB2312" w:eastAsia="仿宋_GB2312"/>
              </w:rPr>
              <w:t>（四）需要由投标人提供的供货方案、解决方案或者组织方案</w:t>
            </w:r>
          </w:p>
          <w:p>
            <w:pPr>
              <w:pStyle w:val="null3"/>
            </w:pPr>
            <w:r>
              <w:rPr>
                <w:rFonts w:ascii="仿宋_GB2312" w:hAnsi="仿宋_GB2312" w:cs="仿宋_GB2312" w:eastAsia="仿宋_GB2312"/>
              </w:rPr>
              <w:t xml:space="preserve">1、提供针对项目的理解和难点、关键点分析，提供供货保障措施。  </w:t>
            </w:r>
          </w:p>
          <w:p>
            <w:pPr>
              <w:pStyle w:val="null3"/>
            </w:pPr>
            <w:r>
              <w:rPr>
                <w:rFonts w:ascii="仿宋_GB2312" w:hAnsi="仿宋_GB2312" w:cs="仿宋_GB2312" w:eastAsia="仿宋_GB2312"/>
              </w:rPr>
              <w:t>2、应急保障组织方案</w:t>
            </w:r>
          </w:p>
          <w:p>
            <w:pPr>
              <w:pStyle w:val="null3"/>
            </w:pPr>
            <w:r>
              <w:rPr>
                <w:rFonts w:ascii="仿宋_GB2312" w:hAnsi="仿宋_GB2312" w:cs="仿宋_GB2312" w:eastAsia="仿宋_GB2312"/>
              </w:rPr>
              <w:t>投标人应制定合理可行的应急保障组织方案，通过优化组织程序，提高不可预见事件的处理效率、加强控制保障等多种手段，确保项目顺利进行。</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合同签订之日起150日历日内完成交付、安装及调试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陕西省环境信息中心指定地点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合同签订后支付预付款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本项目供货完成并经采购人验收合格后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（一）现场安装：中标人应派技术人员进行安装，对安装、测试的产品兼容性进行检查，同时对安装质量负责。 （二）安装测试合格验收：自签订合同之日起，180日内完成验收。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1、项目质保期：自项目验收合格且双方签字之日起，中标供应商提供一年原厂质保。 2、售后服务响应时间（质保期内）：即时响应（包括电话响应）；电话响应无法解决48小时内到达现场。修复时间 24 小时内解决；如在 24 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投标人在保证金缴付过程中需备注xxxx项目简称+保证金。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1-资格证明文件.docx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后不得再参加该采购项目的其他采购活动。</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投标函 1-资格证明文件.docx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本采购包不专门面向中小企业采购</w:t>
            </w:r>
          </w:p>
        </w:tc>
        <w:tc>
          <w:tcPr>
            <w:tcW w:type="dxa" w:w="3322"/>
          </w:tcPr>
          <w:p>
            <w:pPr>
              <w:pStyle w:val="null3"/>
            </w:pPr>
            <w:r>
              <w:rPr>
                <w:rFonts w:ascii="仿宋_GB2312" w:hAnsi="仿宋_GB2312" w:cs="仿宋_GB2312" w:eastAsia="仿宋_GB2312"/>
              </w:rPr>
              <w:t>（1）本采购包不专门面向中小企业采购； （2）《关于在政府采购活动中查询及使用信用记录有关问题的通知》（财库〔2016〕125号）； （3）《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4）国务院办公厅《关于建立政府强制采购节能产品制度的通知》（国办发〔2007〕51号）、财政部、国家发改委、生态环境部、市场监督管理总局联合印发《关于调整优化节能产品、环境标志产品政府采购执行机制的通知》（财库〔2019〕9号）； （5）《陕西省财政厅关于加快推进我省中小企业政府采购信用融资工作的通知》（陕财办采〔2020〕15号）、陕西省财政厅关于印发《陕西省中小企业政府采购信用融资办法》（陕财办采〔2018〕23号）； （6）如有颁布最新的政策，以最新已生效的政策为准。</w:t>
            </w:r>
          </w:p>
        </w:tc>
        <w:tc>
          <w:tcPr>
            <w:tcW w:type="dxa" w:w="1661"/>
          </w:tcPr>
          <w:p>
            <w:pPr>
              <w:pStyle w:val="null3"/>
            </w:pPr>
            <w:r>
              <w:rPr>
                <w:rFonts w:ascii="仿宋_GB2312" w:hAnsi="仿宋_GB2312" w:cs="仿宋_GB2312" w:eastAsia="仿宋_GB2312"/>
              </w:rPr>
              <w:t>投标函 1-资格证明文件.docx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2-分项报价明细表.docx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按照招标文件的规定提交投标保证金的（如有设置）</w:t>
            </w:r>
          </w:p>
        </w:tc>
        <w:tc>
          <w:tcPr>
            <w:tcW w:type="dxa" w:w="1661"/>
          </w:tcPr>
          <w:p>
            <w:pPr>
              <w:pStyle w:val="null3"/>
            </w:pPr>
            <w:r>
              <w:rPr>
                <w:rFonts w:ascii="仿宋_GB2312" w:hAnsi="仿宋_GB2312" w:cs="仿宋_GB2312" w:eastAsia="仿宋_GB2312"/>
              </w:rPr>
              <w:t>7-投标保证金缴纳凭证.docx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开标一览表 4-评分细则相应的商务技术资料.docx 投标函 6-政府采购拒绝商业贿赂书.docx 中小企业声明函 残疾人福利性单位声明函 3-商务技术偏离表.docx 标的清单 投标文件封面 1-资格证明文件.docx 2-分项报价明细表.docx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报价未超过招标文件中规定的预算金额或者最高限价的</w:t>
            </w:r>
          </w:p>
        </w:tc>
        <w:tc>
          <w:tcPr>
            <w:tcW w:type="dxa" w:w="1661"/>
          </w:tcPr>
          <w:p>
            <w:pPr>
              <w:pStyle w:val="null3"/>
            </w:pPr>
            <w:r>
              <w:rPr>
                <w:rFonts w:ascii="仿宋_GB2312" w:hAnsi="仿宋_GB2312" w:cs="仿宋_GB2312" w:eastAsia="仿宋_GB2312"/>
              </w:rPr>
              <w:t>开标一览表 标的清单 2-分项报价明细表.docx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投标文件未含有采购人不能接受的附加条件的</w:t>
            </w:r>
          </w:p>
        </w:tc>
        <w:tc>
          <w:tcPr>
            <w:tcW w:type="dxa" w:w="1661"/>
          </w:tcPr>
          <w:p>
            <w:pPr>
              <w:pStyle w:val="null3"/>
            </w:pPr>
            <w:r>
              <w:rPr>
                <w:rFonts w:ascii="仿宋_GB2312" w:hAnsi="仿宋_GB2312" w:cs="仿宋_GB2312" w:eastAsia="仿宋_GB2312"/>
              </w:rPr>
              <w:t>开标一览表 4-评分细则相应的商务技术资料.docx 投标函 6-政府采购拒绝商业贿赂书.docx 中小企业声明函 残疾人福利性单位声明函 3-商务技术偏离表.docx 标的清单 投标文件封面 1-资格证明文件.docx 2-分项报价明细表.docx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投标文件中承诺的投标有效期不少于招标文件载明的投标有效期的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投标文件符合法律、法规和招标文件中标注“★”的实质性条款要求的</w:t>
            </w:r>
          </w:p>
        </w:tc>
        <w:tc>
          <w:tcPr>
            <w:tcW w:type="dxa" w:w="1661"/>
          </w:tcPr>
          <w:p>
            <w:pPr>
              <w:pStyle w:val="null3"/>
            </w:pPr>
            <w:r>
              <w:rPr>
                <w:rFonts w:ascii="仿宋_GB2312" w:hAnsi="仿宋_GB2312" w:cs="仿宋_GB2312" w:eastAsia="仿宋_GB2312"/>
              </w:rPr>
              <w:t>开标一览表 4-评分细则相应的商务技术资料.docx 投标函 6-政府采购拒绝商业贿赂书.docx 中小企业声明函 残疾人福利性单位声明函 3-商务技术偏离表.docx 标的清单 投标文件封面 1-资格证明文件.docx 2-分项报价明细表.docx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投标人将所投产品的技术指标和配置与招标文件采购需求规定的技术参数要求进行偏离对比，并制作“商务和技术偏离表”(格式详见第六章)。其中标记“▲”项是重要指标，投标人所投产品的技术指标和配置完全符合招标文件第三章招标要求且没有负偏离的得10分。 标记“▲”项有一项负偏离或不满足扣2分，扣完为止。 注：技术指标“▲”项至少须提供下列证明材料之一：①产品说明书；②产品检测报告；③产品彩页；④产品截图；⑤官方网页截图。若技术指标“▲”项规格参数中采购需求明确需提供有资质的第三方出具的检验报告的产品，以检测报告为准；如所提供的技术支持资料为英文版，请同时提供中文简体字译本，否则不予认定。未提供或不满足要求的证明材料视为负偏离。</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3-商务技术偏离表.docx</w:t>
            </w:r>
          </w:p>
        </w:tc>
      </w:tr>
      <w:tr>
        <w:tc>
          <w:tcPr>
            <w:tcW w:type="dxa" w:w="831"/>
            <w:vMerge/>
          </w:tcPr>
          <w:p/>
        </w:tc>
        <w:tc>
          <w:tcPr>
            <w:tcW w:type="dxa" w:w="1661"/>
          </w:tcPr>
          <w:p>
            <w:pPr>
              <w:pStyle w:val="null3"/>
            </w:pPr>
            <w:r>
              <w:rPr>
                <w:rFonts w:ascii="仿宋_GB2312" w:hAnsi="仿宋_GB2312" w:cs="仿宋_GB2312" w:eastAsia="仿宋_GB2312"/>
              </w:rPr>
              <w:t>交付实施方案</w:t>
            </w:r>
          </w:p>
        </w:tc>
        <w:tc>
          <w:tcPr>
            <w:tcW w:type="dxa" w:w="2492"/>
          </w:tcPr>
          <w:p>
            <w:pPr>
              <w:pStyle w:val="null3"/>
            </w:pPr>
            <w:r>
              <w:rPr>
                <w:rFonts w:ascii="仿宋_GB2312" w:hAnsi="仿宋_GB2312" w:cs="仿宋_GB2312" w:eastAsia="仿宋_GB2312"/>
              </w:rPr>
              <w:t>根据投标人针对本项目提供的交付实施方案，至少包含：①重点难点分析及解决方案；②部署技术支持服务方案；③测试、调试上线使用方案；④风险点评估及应对措施；⑤进度保障措施；⑥应急保障组织方案；⑦保密承诺；⑧售后服务支持能力，包含但不限于上述全部内容，且方案详细，清晰有利于项目的得满分。(如有缺陷或不足在此分数基础上进行扣分)，以上8项中： (1)每有1项缺失或内容无法满足项目需求的扣5分； (2)有1项中内容存在缺陷或不足(是指内容方案缺少关键点；对同一问题前后表述矛盾；存在逻辑漏洞、科学原理或常识错误；不利于本项日采购目标实现等任意一种情形)扣3分； (3)每有1项内容存在部分瑕疵(是指内容基本完备可行，但存在部分不符合项目实际或有细节错误之处，不利于项目)扣1分。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投标人拟投入团队人员不少于5人，供项目团队人员配置清单或人员配置承诺函，其中：具有信息化类高级职称人员相关证书人员，每有1人得2分；中级职称人员证书，每提供一个得0.5分；本项最多得5分，人员不可重复得分。 注： （1）供应商仅提供团队人员配置承诺函的，本项最高得0.5分，满分5分。 （2）投标人应提供上述人员职称证，开标前六个月任意一个月任意类别社保缴纳证明文件，不提供不得分。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系统深化能力</w:t>
            </w:r>
          </w:p>
        </w:tc>
        <w:tc>
          <w:tcPr>
            <w:tcW w:type="dxa" w:w="2492"/>
          </w:tcPr>
          <w:p>
            <w:pPr>
              <w:pStyle w:val="null3"/>
            </w:pPr>
            <w:r>
              <w:rPr>
                <w:rFonts w:ascii="仿宋_GB2312" w:hAnsi="仿宋_GB2312" w:cs="仿宋_GB2312" w:eastAsia="仿宋_GB2312"/>
              </w:rPr>
              <w:t>投标人对移动源环境管理体系有深刻理解，具备移动源环境管理相关标准的研究和技术规范编制能力，利于系统深化。每提供一个证明文件得1分，最多得3分。 注：提供有效标准编制工作证明文件关键页复印件加盖公章。未提供或未按要求提供的不得分。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针对本项目技术服务工作中的常见质量和服务问题进行梳理，投标人可根据自身情况对服务标准、过程管理、质量保证、后续服务等方面做出有利于本项目开展的承诺。每提供1条有效承诺，得0.5分，最高得2分。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vMerge/>
          </w:tcPr>
          <w:p/>
        </w:tc>
        <w:tc>
          <w:tcPr>
            <w:tcW w:type="dxa" w:w="1661"/>
          </w:tcPr>
          <w:p>
            <w:pPr>
              <w:pStyle w:val="null3"/>
            </w:pPr>
            <w:r>
              <w:rPr>
                <w:rFonts w:ascii="仿宋_GB2312" w:hAnsi="仿宋_GB2312" w:cs="仿宋_GB2312" w:eastAsia="仿宋_GB2312"/>
              </w:rPr>
              <w:t>项目经验</w:t>
            </w:r>
          </w:p>
        </w:tc>
        <w:tc>
          <w:tcPr>
            <w:tcW w:type="dxa" w:w="2492"/>
          </w:tcPr>
          <w:p>
            <w:pPr>
              <w:pStyle w:val="null3"/>
            </w:pPr>
            <w:r>
              <w:rPr>
                <w:rFonts w:ascii="仿宋_GB2312" w:hAnsi="仿宋_GB2312" w:cs="仿宋_GB2312" w:eastAsia="仿宋_GB2312"/>
              </w:rPr>
              <w:t>投标人提供2022年1月1日以来独立承担过类似项目业绩，每提供1个得2分，最高10分。 备注：需提供业绩合同证明材料（至少应包含内容关键页与签章页），未提供或无法辨识的不得分。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4-评分细则相应的商务技术资料.docx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根据财政部令第87号《政府采购货物和服务招标投标管理办法》，综合评分法中的价格分统一采用低价优先法计算，即满足招标文件要求且投标价格最低的投标报价为评标基准价，其价格分为满分。其他投标人的价格分统一按照下列公式计算： 投标报价得分=(评标基准价／投标报价)×30； 2.若落实政府采购政策的，以享受政策调整后的价格参与评审。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详见附件：2-分项报价明细表.docx</w:t>
      </w:r>
    </w:p>
    <w:p>
      <w:pPr>
        <w:pStyle w:val="null3"/>
        <w:ind w:firstLine="960"/>
      </w:pPr>
      <w:r>
        <w:rPr>
          <w:rFonts w:ascii="仿宋_GB2312" w:hAnsi="仿宋_GB2312" w:cs="仿宋_GB2312" w:eastAsia="仿宋_GB2312"/>
        </w:rPr>
        <w:t>详见附件：3-商务技术偏离表.docx</w:t>
      </w:r>
    </w:p>
    <w:p>
      <w:pPr>
        <w:pStyle w:val="null3"/>
        <w:ind w:firstLine="960"/>
      </w:pPr>
      <w:r>
        <w:rPr>
          <w:rFonts w:ascii="仿宋_GB2312" w:hAnsi="仿宋_GB2312" w:cs="仿宋_GB2312" w:eastAsia="仿宋_GB2312"/>
        </w:rPr>
        <w:t>详见附件：4-评分细则相应的商务技术资料.docx</w:t>
      </w:r>
    </w:p>
    <w:p>
      <w:pPr>
        <w:pStyle w:val="null3"/>
        <w:ind w:firstLine="960"/>
      </w:pPr>
      <w:r>
        <w:rPr>
          <w:rFonts w:ascii="仿宋_GB2312" w:hAnsi="仿宋_GB2312" w:cs="仿宋_GB2312" w:eastAsia="仿宋_GB2312"/>
        </w:rPr>
        <w:t>详见附件：6-政府采购拒绝商业贿赂书.docx</w:t>
      </w:r>
    </w:p>
    <w:p>
      <w:pPr>
        <w:pStyle w:val="null3"/>
        <w:ind w:firstLine="960"/>
      </w:pPr>
      <w:r>
        <w:rPr>
          <w:rFonts w:ascii="仿宋_GB2312" w:hAnsi="仿宋_GB2312" w:cs="仿宋_GB2312" w:eastAsia="仿宋_GB2312"/>
        </w:rPr>
        <w:t>详见附件：7-投标保证金缴纳凭证.docx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详见附件：5-拟签订的合同文本.docx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