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版本号：【KRDL】K1-250922320251014001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锅炉改扩容项目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【KRDL】K1-2509223</w:t>
      </w:r>
      <w:r>
        <w:br/>
      </w:r>
      <w:r>
        <w:br/>
      </w:r>
      <w:r>
        <w:br/>
      </w:r>
    </w:p>
    <w:p>
      <w:pPr>
        <w:pStyle w:val="null3"/>
        <w:jc w:val="center"/>
        <w:outlineLvl w:val="2"/>
      </w:pPr>
      <w:r>
        <w:rPr>
          <w:rFonts w:ascii="仿宋_GB2312" w:hAnsi="仿宋_GB2312" w:cs="仿宋_GB2312" w:eastAsia="仿宋_GB2312"/>
          <w:sz w:val="28"/>
          <w:b/>
        </w:rPr>
        <w:t>陕西省疾病预防控制中心</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陕西省疾病预防控制中心</w:t>
      </w:r>
      <w:r>
        <w:rPr>
          <w:rFonts w:ascii="仿宋_GB2312" w:hAnsi="仿宋_GB2312" w:cs="仿宋_GB2312" w:eastAsia="仿宋_GB2312"/>
        </w:rPr>
        <w:t>委托，拟对</w:t>
      </w:r>
      <w:r>
        <w:rPr>
          <w:rFonts w:ascii="仿宋_GB2312" w:hAnsi="仿宋_GB2312" w:cs="仿宋_GB2312" w:eastAsia="仿宋_GB2312"/>
        </w:rPr>
        <w:t>锅炉改扩容项目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【KRDL】K1-2509223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锅炉改扩容项目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本工程为陕西省疾病预防控制中心锅炉扩容改造工程，增加一台4吨符合环保节能规范要求的锅炉及配套附属设施改扩建，其中涉及到天然气管道最大管径DN100等相关工程及配套设施。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采购包1（锅炉改扩容项目）：属于专门面向小微企业采购。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1、主体资格：供应商为向招标人提供相关工程及服务的法人或其他组织；</w:t>
      </w:r>
    </w:p>
    <w:p>
      <w:pPr>
        <w:pStyle w:val="null3"/>
      </w:pPr>
      <w:r>
        <w:rPr>
          <w:rFonts w:ascii="仿宋_GB2312" w:hAnsi="仿宋_GB2312" w:cs="仿宋_GB2312" w:eastAsia="仿宋_GB2312"/>
        </w:rPr>
        <w:t>2、企业资质及要求：2.1供应商须具备建设主管部门颁发的具备建筑机电安装工程专业承包三级及以上资质证书； 2.2供应商须具备《中华人民共和国特种设备生产许可证》（承压类特种设备安装、修理、改造）[许可子项目：公用管道安装GB1] 2.3生产商需提供《中华人民共和国特种设备生产许可证》（锅炉制造（含安装（散装锅炉除外）、修理、改造））[许可子项目：锅炉]B级及以上资质证书； 经销商需提供《中华人民共和国特种设备生产许可证》（承压类特种设备安装、修理、改造)）[许可子项目：锅炉安装（含修理、改造）]B级及以上资质证书及生厂商《中华人民共和国特种设备生产许可证》（锅炉制造(含安装(散装锅炉除外)、修理、改造）[许可子项目：锅炉])B级及以上资质证书；</w:t>
      </w:r>
    </w:p>
    <w:p>
      <w:pPr>
        <w:pStyle w:val="null3"/>
      </w:pPr>
      <w:r>
        <w:rPr>
          <w:rFonts w:ascii="仿宋_GB2312" w:hAnsi="仿宋_GB2312" w:cs="仿宋_GB2312" w:eastAsia="仿宋_GB2312"/>
        </w:rPr>
        <w:t>3、拟派项目经理资格及要求：供应商拟派项目经理具备机电工程专业二级及以上注册执业资格及有效的安全生产考核合格证，在本单位注册且未担任其他在建工程项目的项目经理；</w:t>
      </w:r>
    </w:p>
    <w:p>
      <w:pPr>
        <w:pStyle w:val="null3"/>
      </w:pPr>
      <w:r>
        <w:rPr>
          <w:rFonts w:ascii="仿宋_GB2312" w:hAnsi="仿宋_GB2312" w:cs="仿宋_GB2312" w:eastAsia="仿宋_GB2312"/>
        </w:rPr>
        <w:t>4、信誉要求：供应商截止至响应文件递交截止时间之前，供应商未被“信用中国”网站列入失信被执行人、重大税收违法失信主体名单，未被“中国政府采购网”网站列入政府采购严重违法失信行为记录名单；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5、其他要求：供应商及其拟派项目经理提供在“陕西省住房和城乡建设厅”官方网站可查询承诺函；如供应商为外省进陕企业，提供在“陕西省住房和城乡建设厅”官方网站可查询承诺函，还须同时提供“陕西省住房和城乡建设厅”官网企业库外省进陕施工企业信息首页截图；</w:t>
      </w:r>
    </w:p>
    <w:p>
      <w:pPr>
        <w:pStyle w:val="null3"/>
      </w:pPr>
      <w:r>
        <w:rPr>
          <w:rFonts w:ascii="仿宋_GB2312" w:hAnsi="仿宋_GB2312" w:cs="仿宋_GB2312" w:eastAsia="仿宋_GB2312"/>
        </w:rPr>
        <w:t>6、供应商应授权合法的人员参加本项目采购活动全过程：法定代表人参加磋商会议的，应出具法定代表人证明书以及法定代表人合法有效的身份证，且应与营业执照上信息一致。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法定代表人授权合法授权代表参加磋商会议的，应出具法定代表人证明书、法定代表人授权书及授权代表合法有效的身份证,同时提供截至响应文件递交截止时间前6个月内任意1个月的社保缴纳证明材料；</w:t>
      </w:r>
    </w:p>
    <w:p>
      <w:pPr>
        <w:pStyle w:val="null3"/>
      </w:pPr>
      <w:r>
        <w:rPr>
          <w:rFonts w:ascii="仿宋_GB2312" w:hAnsi="仿宋_GB2312" w:cs="仿宋_GB2312" w:eastAsia="仿宋_GB2312"/>
        </w:rPr>
        <w:t>7、本项目为专门面向中、小企业采购项目：供应商应按照系统要求提供中小企业声明函。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西安市碑林区建东街3号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丁老师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029-82475996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王昭、蔺玉栋、刘昆、张晨、王森、姚瑶、代光艳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029-89569197、15667250842、18740707410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采购包1保证金金额：10,001.00元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踏勘时间：2025-10-22 10:00:00</w:t>
            </w:r>
          </w:p>
          <w:p>
            <w:pPr>
              <w:pStyle w:val="null3"/>
              <w:ind w:firstLine="975"/>
            </w:pPr>
            <w:r>
              <w:rPr>
                <w:rFonts w:ascii="仿宋_GB2312" w:hAnsi="仿宋_GB2312" w:cs="仿宋_GB2312" w:eastAsia="仿宋_GB2312"/>
              </w:rPr>
              <w:t>踏勘地点：陕西省西安市碑林区建东街3号</w:t>
            </w:r>
          </w:p>
          <w:p>
            <w:pPr>
              <w:pStyle w:val="null3"/>
              <w:ind w:firstLine="975"/>
            </w:pPr>
            <w:r>
              <w:rPr>
                <w:rFonts w:ascii="仿宋_GB2312" w:hAnsi="仿宋_GB2312" w:cs="仿宋_GB2312" w:eastAsia="仿宋_GB2312"/>
              </w:rPr>
              <w:t>联系人：彭熠豪、王昭</w:t>
            </w:r>
          </w:p>
          <w:p>
            <w:pPr>
              <w:pStyle w:val="null3"/>
              <w:ind w:firstLine="975"/>
            </w:pPr>
            <w:r>
              <w:rPr>
                <w:rFonts w:ascii="仿宋_GB2312" w:hAnsi="仿宋_GB2312" w:cs="仿宋_GB2312" w:eastAsia="仿宋_GB2312"/>
              </w:rPr>
              <w:t>联系电话号码：15668756258、18740707410</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陕西省疾病预防控制中心</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陕西省疾病预防控制中心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联系人：彭熠豪、王昭</w:t>
      </w:r>
    </w:p>
    <w:p>
      <w:pPr>
        <w:pStyle w:val="null3"/>
      </w:pPr>
      <w:r>
        <w:rPr>
          <w:rFonts w:ascii="仿宋_GB2312" w:hAnsi="仿宋_GB2312" w:cs="仿宋_GB2312" w:eastAsia="仿宋_GB2312"/>
        </w:rPr>
        <w:t>联系电话：029-89569197、15667250842、18740707410</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陕西省疾病预防控制中心锅炉改扩容项目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标的名称：陕西省疾病预防控制中心锅炉改扩容项目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rPr>
              <w:t>.本工程其他技术标准及要求执行现行规范和采购人实际需求。</w:t>
            </w:r>
          </w:p>
          <w:p>
            <w:pPr>
              <w:pStyle w:val="null3"/>
            </w:pPr>
            <w:r>
              <w:rPr>
                <w:rFonts w:ascii="仿宋_GB2312" w:hAnsi="仿宋_GB2312" w:cs="仿宋_GB2312" w:eastAsia="仿宋_GB2312"/>
              </w:rPr>
              <w:t>2</w:t>
            </w:r>
            <w:r>
              <w:rPr>
                <w:rFonts w:ascii="仿宋_GB2312" w:hAnsi="仿宋_GB2312" w:cs="仿宋_GB2312" w:eastAsia="仿宋_GB2312"/>
              </w:rPr>
              <w:t>.在施工过程中，如果国家或有关部门颁布了新的技术部分准或规范，则承包人应采用新的标准或规范进行施工。</w:t>
            </w:r>
          </w:p>
          <w:p>
            <w:pPr>
              <w:pStyle w:val="null3"/>
            </w:pPr>
            <w:r>
              <w:rPr>
                <w:rFonts w:ascii="仿宋_GB2312" w:hAnsi="仿宋_GB2312" w:cs="仿宋_GB2312" w:eastAsia="仿宋_GB2312"/>
              </w:rPr>
              <w:t>3</w:t>
            </w:r>
            <w:r>
              <w:rPr>
                <w:rFonts w:ascii="仿宋_GB2312" w:hAnsi="仿宋_GB2312" w:cs="仿宋_GB2312" w:eastAsia="仿宋_GB2312"/>
              </w:rPr>
              <w:t>. 采购人提供工程的施工方案和相关技术文件，是采购人现有的能被供应商利用的资料，招标人对供应商做出的任何推论、理解均不负责任。</w:t>
            </w:r>
          </w:p>
          <w:p>
            <w:pPr>
              <w:pStyle w:val="null3"/>
            </w:pPr>
            <w:r>
              <w:rPr>
                <w:rFonts w:ascii="仿宋_GB2312" w:hAnsi="仿宋_GB2312" w:cs="仿宋_GB2312" w:eastAsia="仿宋_GB2312"/>
              </w:rPr>
              <w:t>4</w:t>
            </w:r>
            <w:r>
              <w:rPr>
                <w:rFonts w:ascii="仿宋_GB2312" w:hAnsi="仿宋_GB2312" w:cs="仿宋_GB2312" w:eastAsia="仿宋_GB2312"/>
              </w:rPr>
              <w:t>.供应</w:t>
            </w:r>
            <w:r>
              <w:rPr>
                <w:rFonts w:ascii="仿宋_GB2312" w:hAnsi="仿宋_GB2312" w:cs="仿宋_GB2312" w:eastAsia="仿宋_GB2312"/>
              </w:rPr>
              <w:t>商应先到工地踏勘以充分了解工地位置</w:t>
            </w:r>
            <w:r>
              <w:rPr>
                <w:rFonts w:ascii="仿宋_GB2312" w:hAnsi="仿宋_GB2312" w:cs="仿宋_GB2312" w:eastAsia="仿宋_GB2312"/>
              </w:rPr>
              <w:t>、施工场地空间、施工措施、进出场道路、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pP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本项目中涉及锅炉设计部分需配合采购人进行设计及后期施工</w:t>
            </w:r>
            <w:r>
              <w:rPr>
                <w:rFonts w:ascii="仿宋_GB2312" w:hAnsi="仿宋_GB2312" w:cs="仿宋_GB2312" w:eastAsia="仿宋_GB2312"/>
              </w:rPr>
              <w:t>。</w:t>
            </w:r>
          </w:p>
          <w:p>
            <w:pPr>
              <w:pStyle w:val="null3"/>
            </w:pPr>
            <w:r>
              <w:rPr>
                <w:rFonts w:ascii="仿宋_GB2312" w:hAnsi="仿宋_GB2312" w:cs="仿宋_GB2312" w:eastAsia="仿宋_GB2312"/>
                <w:b/>
              </w:rPr>
              <w:t>锅炉参数要求</w:t>
            </w:r>
          </w:p>
          <w:p>
            <w:pPr>
              <w:pStyle w:val="null3"/>
              <w:ind w:firstLine="400"/>
            </w:pPr>
            <w:r>
              <w:rPr>
                <w:rFonts w:ascii="仿宋_GB2312" w:hAnsi="仿宋_GB2312" w:cs="仿宋_GB2312" w:eastAsia="仿宋_GB2312"/>
              </w:rPr>
              <w:t>本项目拟采购一台</w:t>
            </w:r>
            <w:r>
              <w:rPr>
                <w:rFonts w:ascii="仿宋_GB2312" w:hAnsi="仿宋_GB2312" w:cs="仿宋_GB2312" w:eastAsia="仿宋_GB2312"/>
              </w:rPr>
              <w:t>4吨的符合环保、节能规范需求的锅炉并对配套的附属设备及管道改扩建，其中涉及到天然气管道最大管径DN100等相关工程及配套设施</w:t>
            </w:r>
          </w:p>
          <w:tbl>
            <w:tblPr>
              <w:tblBorders>
                <w:top w:val="none" w:color="000000" w:sz="4"/>
                <w:left w:val="none" w:color="000000" w:sz="4"/>
                <w:bottom w:val="none" w:color="000000" w:sz="4"/>
                <w:right w:val="none" w:color="000000" w:sz="4"/>
                <w:insideH w:val="none"/>
                <w:insideV w:val="none"/>
              </w:tblBorders>
            </w:tblPr>
            <w:tblGrid>
              <w:gridCol w:w="327"/>
              <w:gridCol w:w="1044"/>
              <w:gridCol w:w="1173"/>
            </w:tblGrid>
            <w:tr>
              <w:tc>
                <w:tcPr>
                  <w:tcW w:type="dxa" w:w="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0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项目</w:t>
                  </w:r>
                </w:p>
              </w:tc>
              <w:tc>
                <w:tcPr>
                  <w:tcW w:type="dxa" w:w="1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技术参数</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额定功率</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2.8MW</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本体额定压力</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0Mpa</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额定出水温度</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85℃</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额定回水温度</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60℃</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冷凝式机组效率</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103%（回水温度40度）</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适用燃料</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天然气</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燃料耗量（天然气低位）</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264.5Nm3/h</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燃烧方式</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扩散燃烧</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燃烧机调节方式</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电子比例调节</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0</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点火方式</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高压电子点火</w:t>
                  </w:r>
                  <w:r>
                    <w:rPr>
                      <w:rFonts w:ascii="仿宋_GB2312" w:hAnsi="仿宋_GB2312" w:cs="仿宋_GB2312" w:eastAsia="仿宋_GB2312"/>
                      <w:sz w:val="19"/>
                    </w:rPr>
                    <w:t>/旁路点火</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1</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电源</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380V/220V 50HZ</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2</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燃烧机用电功率</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15KW</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3</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燃烧保护</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燃烧异常熄火保护装置</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4</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烟气</w:t>
                  </w:r>
                  <w:r>
                    <w:rPr>
                      <w:rFonts w:ascii="仿宋_GB2312" w:hAnsi="仿宋_GB2312" w:cs="仿宋_GB2312" w:eastAsia="仿宋_GB2312"/>
                      <w:sz w:val="19"/>
                    </w:rPr>
                    <w:t>NOx排放标准</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小于</w:t>
                  </w:r>
                  <w:r>
                    <w:rPr>
                      <w:rFonts w:ascii="仿宋_GB2312" w:hAnsi="仿宋_GB2312" w:cs="仿宋_GB2312" w:eastAsia="仿宋_GB2312"/>
                      <w:sz w:val="19"/>
                    </w:rPr>
                    <w:t>30</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5</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锅炉控制运行方式</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PLC全自动温度控制运行</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6</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显示方式</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中文全触摸屏显示</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7</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水位控制方式</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缺水位异常报警装置</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r>
                    <w:rPr>
                      <w:rFonts w:ascii="仿宋_GB2312" w:hAnsi="仿宋_GB2312" w:cs="仿宋_GB2312" w:eastAsia="仿宋_GB2312"/>
                      <w:sz w:val="19"/>
                    </w:rPr>
                    <w:t>8</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温度控制</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供水温度控制</w:t>
                  </w:r>
                  <w:r>
                    <w:rPr>
                      <w:rFonts w:ascii="仿宋_GB2312" w:hAnsi="仿宋_GB2312" w:cs="仿宋_GB2312" w:eastAsia="仿宋_GB2312"/>
                      <w:sz w:val="19"/>
                    </w:rPr>
                    <w:t>PID调节</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19</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安全保护</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超温、缺水、水流异常、温差异常报警停炉装置</w:t>
                  </w:r>
                </w:p>
                <w:p>
                  <w:pPr>
                    <w:pStyle w:val="null3"/>
                  </w:pPr>
                  <w:r>
                    <w:rPr>
                      <w:rFonts w:ascii="仿宋_GB2312" w:hAnsi="仿宋_GB2312" w:cs="仿宋_GB2312" w:eastAsia="仿宋_GB2312"/>
                      <w:sz w:val="19"/>
                    </w:rPr>
                    <w:t>通大气安全防护</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0</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进出水口</w:t>
                  </w:r>
                  <w:r>
                    <w:rPr>
                      <w:rFonts w:ascii="仿宋_GB2312" w:hAnsi="仿宋_GB2312" w:cs="仿宋_GB2312" w:eastAsia="仿宋_GB2312"/>
                      <w:sz w:val="19"/>
                    </w:rPr>
                    <w:t>(DN)</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125</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1</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大气口直径</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125</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2</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锅炉水容量</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w:t>
                  </w:r>
                  <w:r>
                    <w:rPr>
                      <w:rFonts w:ascii="仿宋_GB2312" w:hAnsi="仿宋_GB2312" w:cs="仿宋_GB2312" w:eastAsia="仿宋_GB2312"/>
                      <w:sz w:val="19"/>
                    </w:rPr>
                    <w:t>690L</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3</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运行重量</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&lt;4.0T</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4</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外形尺寸（长</w:t>
                  </w:r>
                  <w:r>
                    <w:rPr>
                      <w:rFonts w:ascii="仿宋_GB2312" w:hAnsi="仿宋_GB2312" w:cs="仿宋_GB2312" w:eastAsia="仿宋_GB2312"/>
                      <w:sz w:val="19"/>
                    </w:rPr>
                    <w:t>×宽×高）mm</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2800×1650×2550</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5</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设计使用寿命</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15年以上</w:t>
                  </w:r>
                </w:p>
              </w:tc>
            </w:tr>
            <w:tr>
              <w:tc>
                <w:tcPr>
                  <w:tcW w:type="dxa" w:w="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r>
                    <w:rPr>
                      <w:rFonts w:ascii="仿宋_GB2312" w:hAnsi="仿宋_GB2312" w:cs="仿宋_GB2312" w:eastAsia="仿宋_GB2312"/>
                      <w:sz w:val="19"/>
                    </w:rPr>
                    <w:t>6</w:t>
                  </w:r>
                </w:p>
              </w:tc>
              <w:tc>
                <w:tcPr>
                  <w:tcW w:type="dxa" w:w="10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控制柜</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PLC控制器</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符合本工程磋商文件技术要求及国家、行业强制性标准，达到合格。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供应商应按照磋商文件中规定的时间及地点前往项目地点踏勘，以充分了解工地位置、情况、道路、储存空间、装卸限制及任何其他足以影响响应报价的情况，供应商因忽视或误解工地情况而导致的其提出的任何索赔或工期延长申请将不被批准。凡因供应商对竞争性磋商文件阅读疏忽或误解，或因对施工现场、施工环境、市场行情等了解不清而造成的后果和风险，由供应商自行负责。在施工期间，供应商自行协调施工现场周边社会关系，不得以协调不力而影响工程进度，所发生的一切费用应在报价时加以考虑。 2.磋商报价时各供应商应根据文件说明、做法、施工组织设计、施工验收规范、现场条件、工程特点等内容编制磋商报价。 3.所有材料必须使用合格产品，竞争性磋商文件如对材料的材质、品牌等有明确要求的，不得变更相关要求，使用前应当由采购人认质确认后方可投入使用。工程施工完毕后需对施工场地进行保洁，保洁标准达到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1.1工期：45个日历天内。 1.2工程地点：采购人指定地点。 1.3质量要求：符合本工程磋商文件技术要求及国家、行业强制性标准，达到合格。 1.4付款方式： 1.4.1预付款30%。 1.4.2主设备到现场后付至80%； 1.4.3完成工程结算资料送审、竣工图提交，工完场清并拆除临建后，安装验收调试完，工程款累计付至合同价97%。 1.5质量保证期：本项目竣工验收合格通过之日起1年，一年后付质保金3%。 2.本项目签订固定总价合同，所有投标报价中的单价、合价及投标总价均以人民币表示。 3.本项目不提供清单及图纸，各单位以现场踏勘结果为唯一工程量测算依据。 4.本项目签订固定总价合同，所有投标报价中的单价、合价及投标总价均以人民币表示。 5.投标人在投标报价时应仔细对招标文件进行透彻地分析研究，对图纸进行仔细地阅读和理解，根据招标文件中的工程量清单和有关要求、施工现场实际情况及拟定的施工方案或施工组织设计进行报价。招标人所发布的工程量清单的工程项目仅表达了主要工程做法，报价时各投标单位应依据图纸用料说明、相关图集，结合图纸、招标文件、合同条款、技术规范及现场情况进行科学合理组价。 6.投标人在计算报价时须全面考虑招标文件及拟签订合同中所明示或可能涉及的全部风险，除招标文件及拟签订合同中允许调整的内容外，投标人所报的综合单价在合同实施期间不予调整。 7.投标人可对招标人提供的工程量清单进行完善，但不得删减其中内容。每一项目只允许有一个报价，任何有选择的报价将不予接受；投标人未填的全费用单价和合价的，均视为此项目费用已包含在其他全费用单价和合价中，中标后不予增加。 8.投标人自行前往工地现场踏勘，以便充分了解工地位置、情况、道路、储存空间、装卸限制及人和其他足以影响承包价的情况，任何因投标人疏忽或误解工地情况而导致的索赔或工期延长申请将不被批准。凡因投标人对招标文件阅读疏忽或误解，或因对施工现场、施工环境、市场行情等了解不清而造成的后果和风险，均由投标人负责。 9.本工程施工过程中产生的所有建筑垃圾均须运至场外，有关费用在投标报价中综合考虑，招标人不再另行支付； 10.临时围挡的施工，承包人需按照发包人提供或确认的图纸进行施工，在投标报价中综合考虑，招标人不再另行支付，且在施工过程中承包人所做围挡应满足现场安全和相关部门的检查等。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市场监管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供应商为向招标人提供相关工程及服务的法人或其他组织；</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企业资质及要求</w:t>
            </w:r>
          </w:p>
        </w:tc>
        <w:tc>
          <w:tcPr>
            <w:tcW w:type="dxa" w:w="3322"/>
          </w:tcPr>
          <w:p>
            <w:pPr>
              <w:pStyle w:val="null3"/>
            </w:pPr>
            <w:r>
              <w:rPr>
                <w:rFonts w:ascii="仿宋_GB2312" w:hAnsi="仿宋_GB2312" w:cs="仿宋_GB2312" w:eastAsia="仿宋_GB2312"/>
              </w:rPr>
              <w:t>2.1供应商须具备建设主管部门颁发的具备建筑机电安装工程专业承包三级及以上资质证书； 2.2供应商须具备《中华人民共和国特种设备生产许可证》（承压类特种设备安装、修理、改造）[许可子项目：公用管道安装GB1] 2.3生产商需提供《中华人民共和国特种设备生产许可证》（锅炉制造（含安装（散装锅炉除外）、修理、改造））[许可子项目：锅炉]B级及以上资质证书； 经销商需提供《中华人民共和国特种设备生产许可证》（承压类特种设备安装、修理、改造)）[许可子项目：锅炉安装（含修理、改造）]B级及以上资质证书及生厂商《中华人民共和国特种设备生产许可证》（锅炉制造(含安装(散装锅炉除外)、修理、改造）[许可子项目：锅炉])B级及以上资质证书；</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拟派项目经理资格及要求</w:t>
            </w:r>
          </w:p>
        </w:tc>
        <w:tc>
          <w:tcPr>
            <w:tcW w:type="dxa" w:w="3322"/>
          </w:tcPr>
          <w:p>
            <w:pPr>
              <w:pStyle w:val="null3"/>
            </w:pPr>
            <w:r>
              <w:rPr>
                <w:rFonts w:ascii="仿宋_GB2312" w:hAnsi="仿宋_GB2312" w:cs="仿宋_GB2312" w:eastAsia="仿宋_GB2312"/>
              </w:rPr>
              <w:t>供应商拟派项目经理具备机电工程专业二级及以上注册执业资格及有效的安全生产考核合格证，在本单位注册且未担任其他在建工程项目的项目经理；</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供应商截止至响应文件递交截止时间之前，供应商未被“信用中国”网站列入失信被执行人、重大税收违法失信主体名单，未被“中国政府采购网”网站列入政府采购严重违法失信行为记录名单；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及其拟派项目经理提供在“陕西省住房和城乡建设厅”官方网站可查询承诺函；如供应商为外省进陕企业，提供在“陕西省住房和城乡建设厅”官方网站可查询承诺函，还须同时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供应商应授权合法的人员参加本项目采购活动全过程</w:t>
            </w:r>
          </w:p>
        </w:tc>
        <w:tc>
          <w:tcPr>
            <w:tcW w:type="dxa" w:w="3322"/>
          </w:tcPr>
          <w:p>
            <w:pPr>
              <w:pStyle w:val="null3"/>
            </w:pPr>
            <w:r>
              <w:rPr>
                <w:rFonts w:ascii="仿宋_GB2312" w:hAnsi="仿宋_GB2312" w:cs="仿宋_GB2312" w:eastAsia="仿宋_GB2312"/>
              </w:rPr>
              <w:t>法定代表人参加磋商会议的，应出具法定代表人证明书以及法定代表人合法有效的身份证，且应与营业执照上信息一致。 法定代表人授权合法授权代表参加磋商会议的，应出具法定代表人证明书、法定代表人授权书及授权代表合法有效的身份证,同时提供截至响应文件递交截止时间前6个月内任意1个月的社保缴纳证明材料；</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本项目为专门面向中、小企业采购项目</w:t>
            </w:r>
          </w:p>
        </w:tc>
        <w:tc>
          <w:tcPr>
            <w:tcW w:type="dxa" w:w="3322"/>
          </w:tcPr>
          <w:p>
            <w:pPr>
              <w:pStyle w:val="null3"/>
            </w:pPr>
            <w:r>
              <w:rPr>
                <w:rFonts w:ascii="仿宋_GB2312" w:hAnsi="仿宋_GB2312" w:cs="仿宋_GB2312" w:eastAsia="仿宋_GB2312"/>
              </w:rPr>
              <w:t>供应商应按照系统要求提供中小企业声明函。</w:t>
            </w:r>
          </w:p>
        </w:tc>
        <w:tc>
          <w:tcPr>
            <w:tcW w:type="dxa" w:w="1661"/>
          </w:tcPr>
          <w:p>
            <w:pPr>
              <w:pStyle w:val="null3"/>
            </w:pPr>
            <w:r>
              <w:rPr>
                <w:rFonts w:ascii="仿宋_GB2312" w:hAnsi="仿宋_GB2312" w:cs="仿宋_GB2312" w:eastAsia="仿宋_GB2312"/>
              </w:rPr>
              <w:t>供应商应提交的资格审查资料.docx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供应商名称是否与营业执照、资质证书、安全生产许可证一致</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供应商应提交的资格审查资料.docx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响应函是否按磋商文件要求签署、盖章的</w:t>
            </w:r>
          </w:p>
        </w:tc>
        <w:tc>
          <w:tcPr>
            <w:tcW w:type="dxa" w:w="3322"/>
          </w:tcPr>
          <w:p>
            <w:pPr>
              <w:pStyle w:val="null3"/>
            </w:pPr>
            <w:r>
              <w:rPr>
                <w:rFonts w:ascii="仿宋_GB2312" w:hAnsi="仿宋_GB2312" w:cs="仿宋_GB2312" w:eastAsia="仿宋_GB2312"/>
              </w:rPr>
              <w:t>响应函应需在项目电子化交易系统中按要求填写《响应函》、《报价函》完成承诺并进行电子签章。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响应文件报价是否唯一</w:t>
            </w:r>
          </w:p>
        </w:tc>
        <w:tc>
          <w:tcPr>
            <w:tcW w:type="dxa" w:w="3322"/>
          </w:tcPr>
          <w:p>
            <w:pPr>
              <w:pStyle w:val="null3"/>
            </w:pPr>
            <w:r>
              <w:rPr>
                <w:rFonts w:ascii="仿宋_GB2312" w:hAnsi="仿宋_GB2312" w:cs="仿宋_GB2312" w:eastAsia="仿宋_GB2312"/>
              </w:rPr>
              <w:t>每次报价只能有一个有效报价，且未超出采购预算及采购最高限价。</w:t>
            </w:r>
          </w:p>
        </w:tc>
        <w:tc>
          <w:tcPr>
            <w:tcW w:type="dxa" w:w="1661"/>
          </w:tcPr>
          <w:p>
            <w:pPr>
              <w:pStyle w:val="null3"/>
            </w:pPr>
            <w:r>
              <w:rPr>
                <w:rFonts w:ascii="仿宋_GB2312" w:hAnsi="仿宋_GB2312" w:cs="仿宋_GB2312" w:eastAsia="仿宋_GB2312"/>
              </w:rPr>
              <w:t>响应文件封面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响应文件是否存在无效磋商的情形及未实质性响应磋商文件的情况</w:t>
            </w:r>
          </w:p>
        </w:tc>
        <w:tc>
          <w:tcPr>
            <w:tcW w:type="dxa" w:w="3322"/>
          </w:tcPr>
          <w:p>
            <w:pPr>
              <w:pStyle w:val="null3"/>
            </w:pPr>
            <w:r>
              <w:rPr>
                <w:rFonts w:ascii="仿宋_GB2312" w:hAnsi="仿宋_GB2312" w:cs="仿宋_GB2312" w:eastAsia="仿宋_GB2312"/>
              </w:rPr>
              <w:t>响应文件未存在法律法规或磋商文件明确规定的其他被视为“无效磋商”的情形及未实质性响应磋商文件的情况。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投标人提供自2022年9月1日至今已承接的类似业绩证明材料，每提供1项得2分，最多得10分。未提供的不得分。 评审依据：类似业绩证明材料指锅炉购置或锅炉安装等内容的业绩合同扫描件或复印件加盖供应商公章（包含合同主要内容及签字盖章等关键信息），时间以合同签订时间为准，未提供或提供不全的不得分。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企业业绩.docx</w:t>
            </w:r>
          </w:p>
        </w:tc>
      </w:tr>
      <w:tr>
        <w:tc>
          <w:tcPr>
            <w:tcW w:type="dxa" w:w="831"/>
            <w:vMerge/>
          </w:tcPr>
          <w:p/>
        </w:tc>
        <w:tc>
          <w:tcPr>
            <w:tcW w:type="dxa" w:w="1661"/>
          </w:tcPr>
          <w:p>
            <w:pPr>
              <w:pStyle w:val="null3"/>
            </w:pPr>
            <w:r>
              <w:rPr>
                <w:rFonts w:ascii="仿宋_GB2312" w:hAnsi="仿宋_GB2312" w:cs="仿宋_GB2312" w:eastAsia="仿宋_GB2312"/>
              </w:rPr>
              <w:t>拟派项目经理</w:t>
            </w:r>
          </w:p>
        </w:tc>
        <w:tc>
          <w:tcPr>
            <w:tcW w:type="dxa" w:w="2492"/>
          </w:tcPr>
          <w:p>
            <w:pPr>
              <w:pStyle w:val="null3"/>
            </w:pPr>
            <w:r>
              <w:rPr>
                <w:rFonts w:ascii="仿宋_GB2312" w:hAnsi="仿宋_GB2312" w:cs="仿宋_GB2312" w:eastAsia="仿宋_GB2312"/>
              </w:rPr>
              <w:t>1.拟派项目经理职称（2分） 具有高级及以上职称的得2分；具有中级职称的得1分；其余不得分。 评审依据：评审时以供应商提供的拟派项目经理的职称证复印件为准，提供多个职称证明材料的，以最高职称为准。 2.拟派项目经理业绩（2分） 供应商提供拟派项目经理自2022年9月至今已完成的类似工程业绩证明材料，提供1项业绩的得1分，此项满分得2分。 评审依据：类似业绩证明材料指锅炉购置或锅炉安装等内容的业绩合同及竣工验收相关材料扫描件或复印件加盖供应商公章（包含合同主要内容及签字盖章等关键信息），时间以合同签订时间为准，未提供或提供不全的不得分。业绩证明材料须体现拟派项目经理的姓名。拟派项目经理的业绩证明材料与企业业绩证明材料可同时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拟派项目经理证明材料.docx</w:t>
            </w:r>
          </w:p>
        </w:tc>
      </w:tr>
      <w:tr>
        <w:tc>
          <w:tcPr>
            <w:tcW w:type="dxa" w:w="831"/>
            <w:vMerge/>
          </w:tcPr>
          <w:p/>
        </w:tc>
        <w:tc>
          <w:tcPr>
            <w:tcW w:type="dxa" w:w="1661"/>
          </w:tcPr>
          <w:p>
            <w:pPr>
              <w:pStyle w:val="null3"/>
            </w:pPr>
            <w:r>
              <w:rPr>
                <w:rFonts w:ascii="仿宋_GB2312" w:hAnsi="仿宋_GB2312" w:cs="仿宋_GB2312" w:eastAsia="仿宋_GB2312"/>
              </w:rPr>
              <w:t>项目部人员构成</w:t>
            </w:r>
          </w:p>
        </w:tc>
        <w:tc>
          <w:tcPr>
            <w:tcW w:type="dxa" w:w="2492"/>
          </w:tcPr>
          <w:p>
            <w:pPr>
              <w:pStyle w:val="null3"/>
            </w:pPr>
            <w:r>
              <w:rPr>
                <w:rFonts w:ascii="仿宋_GB2312" w:hAnsi="仿宋_GB2312" w:cs="仿宋_GB2312" w:eastAsia="仿宋_GB2312"/>
              </w:rPr>
              <w:t>拟派项目部其他管理人员（除拟派项目经理外）至少应包括： 机电工程建造师1人、造价工程师1人、施工员1人、安全员1人。 1.满足以上全部要求的，得基本分4分，未满足以上全部要求的，本评审项计0分； 2.在满足上述全部要求的基础上，每增加上述要求的任意1名专业人员的加0.5分，最多加1分； 评审依据：专业工程师应提供满足上述要求的技术职称证书或注册证书的扫描件或复印件；造价专业工程师应提供注册证书的扫描件或复印件，且注册单位为申请人本单位；安全员应提供安全C证的扫描件或复印件；资料人员应提供上岗证明材料。 同时，申请人须提供项目部全体人员合法有效的身份证扫描件或复印件。未按要求提供以上全部资料的，将不予认定及赋分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项目部团队人员情况表.docx</w:t>
            </w:r>
          </w:p>
        </w:tc>
      </w:tr>
      <w:tr>
        <w:tc>
          <w:tcPr>
            <w:tcW w:type="dxa" w:w="831"/>
            <w:vMerge/>
          </w:tcPr>
          <w:p/>
        </w:tc>
        <w:tc>
          <w:tcPr>
            <w:tcW w:type="dxa" w:w="1661"/>
          </w:tcPr>
          <w:p>
            <w:pPr>
              <w:pStyle w:val="null3"/>
            </w:pPr>
            <w:r>
              <w:rPr>
                <w:rFonts w:ascii="仿宋_GB2312" w:hAnsi="仿宋_GB2312" w:cs="仿宋_GB2312" w:eastAsia="仿宋_GB2312"/>
              </w:rPr>
              <w:t>拟投入主要设备的技术指标</w:t>
            </w:r>
          </w:p>
        </w:tc>
        <w:tc>
          <w:tcPr>
            <w:tcW w:type="dxa" w:w="2492"/>
          </w:tcPr>
          <w:p>
            <w:pPr>
              <w:pStyle w:val="null3"/>
            </w:pPr>
            <w:r>
              <w:rPr>
                <w:rFonts w:ascii="仿宋_GB2312" w:hAnsi="仿宋_GB2312" w:cs="仿宋_GB2312" w:eastAsia="仿宋_GB2312"/>
              </w:rPr>
              <w:t>根据投标人提供的拟投入本项目锅炉设备的技术指标进行评审： 全部满足得10分；每负偏离一项扣1分，扣完为止。 备注：本项目锅炉设备的技术指标要求详见第三章 招标项目技术、服务、商务及其他要求 3.1技术、服务标准和要求中的内容。 投标人须提供相关技术参数佐证材料（佐证材料可为制造商宣传彩页、检测报告、官网截图等证明材料，佐证材料须包含所要求的技术参数）予以证明其技术参数的响应性。投标人自行承担因证明材料不全而被视为技术参数偏离的风险。技术参数正偏离或负偏离应在技术响应表中注明佐证材料的页码。</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主要设备材料、品牌表.docx</w:t>
            </w:r>
          </w:p>
          <w:p>
            <w:pPr>
              <w:pStyle w:val="null3"/>
            </w:pPr>
            <w:r>
              <w:rPr>
                <w:rFonts w:ascii="仿宋_GB2312" w:hAnsi="仿宋_GB2312" w:cs="仿宋_GB2312" w:eastAsia="仿宋_GB2312"/>
              </w:rPr>
              <w:t>主要材料合法来源渠道.docx</w:t>
            </w:r>
          </w:p>
        </w:tc>
      </w:tr>
      <w:tr>
        <w:tc>
          <w:tcPr>
            <w:tcW w:type="dxa" w:w="831"/>
            <w:vMerge/>
          </w:tcPr>
          <w:p/>
        </w:tc>
        <w:tc>
          <w:tcPr>
            <w:tcW w:type="dxa" w:w="1661"/>
          </w:tcPr>
          <w:p>
            <w:pPr>
              <w:pStyle w:val="null3"/>
            </w:pPr>
            <w:r>
              <w:rPr>
                <w:rFonts w:ascii="仿宋_GB2312" w:hAnsi="仿宋_GB2312" w:cs="仿宋_GB2312" w:eastAsia="仿宋_GB2312"/>
              </w:rPr>
              <w:t>安装、调试、对接方案</w:t>
            </w:r>
          </w:p>
        </w:tc>
        <w:tc>
          <w:tcPr>
            <w:tcW w:type="dxa" w:w="2492"/>
          </w:tcPr>
          <w:p>
            <w:pPr>
              <w:pStyle w:val="null3"/>
            </w:pPr>
            <w:r>
              <w:rPr>
                <w:rFonts w:ascii="仿宋_GB2312" w:hAnsi="仿宋_GB2312" w:cs="仿宋_GB2312" w:eastAsia="仿宋_GB2312"/>
              </w:rPr>
              <w:t>根据投标人提供的安装、调试、对接方案进行评审，包括但不限于： 1.安装方案；2.调试方案；3.对接方案。 1.投标人提供针对本项目的安装方案，就安装方案是否合理科学、措施得当进行评审。 安装方案详细可行，有针对性，完全满足项目要求的得1.1-2分； 安装方案有欠缺，可行性针对性稍有欠缺，不能完全满足项目要求的得0-1分； 2.投标人提供针对本项目的调试方案，就调试方案是否合理科学、措施得当进行评审。 调试方案详细可行，有针对性，完全满足项目要求的得1.1-2分； 调试方案有欠缺，可行性针对性稍有欠缺，不能完全满足项目要求的得0-1.1分； 3.投标人提供针对本项目的对接方案，就对接方案是否合理科学、措施得当进行评审。 对接方案详细可行，有针对性，完全满足项目要求的得1.1-2分； 对接方案有欠缺，可行性针对性稍有欠缺，不能完全满足项目要求的得0-1分；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安装、调试、对接方案.docx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根据投标人针对本项目提供的售后服务方案，包含整体工程、所涉及的主要设备售后维修服务方案、设备的培训方案、质保期内的备品备件清单内容进行评审。 售后维修服务方案完善详细、针对性强；提供培训方案中培训方式、培训时长、培训内容、培训资料详细完整；质保期内的备品备件清单完善、全面的得3.1-5分； 售后维修服务方案及培训方案基本完整；提供了基础的备品备件，基本满足本项目实际采购需求的得1.1-3分； 售后维修服务方案及培训方案内容简略，提供的备品备件有部分缺漏，不能完全满足本项目实际采购需求的得0-1分；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施工组织设计1</w:t>
            </w:r>
          </w:p>
        </w:tc>
        <w:tc>
          <w:tcPr>
            <w:tcW w:type="dxa" w:w="2492"/>
          </w:tcPr>
          <w:p>
            <w:pPr>
              <w:pStyle w:val="null3"/>
            </w:pPr>
            <w:r>
              <w:rPr>
                <w:rFonts w:ascii="仿宋_GB2312" w:hAnsi="仿宋_GB2312" w:cs="仿宋_GB2312" w:eastAsia="仿宋_GB2312"/>
              </w:rPr>
              <w:t>根据投标人针对本项目特点制定切实可行的质量控制目标和保证措施进行评审： 措施科学合理、满足项目要求，合理性、针对性强得3.1-5分； 措施有一定的可行性，基本满足项目要求，具有一定的合理性、针对性得1.1-3分； 措施基本可行，合理性、针对性较差的得0-1分；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施工组织设计2</w:t>
            </w:r>
          </w:p>
        </w:tc>
        <w:tc>
          <w:tcPr>
            <w:tcW w:type="dxa" w:w="2492"/>
          </w:tcPr>
          <w:p>
            <w:pPr>
              <w:pStyle w:val="null3"/>
            </w:pPr>
            <w:r>
              <w:rPr>
                <w:rFonts w:ascii="仿宋_GB2312" w:hAnsi="仿宋_GB2312" w:cs="仿宋_GB2312" w:eastAsia="仿宋_GB2312"/>
              </w:rPr>
              <w:t>根据投标人针对项目工期紧、技术标准高，制定全面、科学的实施方案和技术组织措施（含施工进度表或施工网络图及各阶段进度保证措施）以及确保工程按期按质完成措施进行评审： 方案措施满足项目要求，合理性、针对性强得3.1-5分； 方案有一定的可行性，基本满足项目要求，具有一定的合理性、针对性得1.1-3分； 方案措施基本可行，合理性、针对性较差的得0-1分；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施工组织设计3</w:t>
            </w:r>
          </w:p>
        </w:tc>
        <w:tc>
          <w:tcPr>
            <w:tcW w:type="dxa" w:w="2492"/>
          </w:tcPr>
          <w:p>
            <w:pPr>
              <w:pStyle w:val="null3"/>
            </w:pPr>
            <w:r>
              <w:rPr>
                <w:rFonts w:ascii="仿宋_GB2312" w:hAnsi="仿宋_GB2312" w:cs="仿宋_GB2312" w:eastAsia="仿宋_GB2312"/>
              </w:rPr>
              <w:t>根据投标人针对本项目施工进度计划、进度目标，包括各阶段的时间安排同时针对关键节点、复杂环节给出优化方案及技术措施进行评审： 方案措施满足项目要求，合理性、针对性强得3.1-5分； 方案有一定的可行性，基本满足项目要求，具有一定的合理性、针对性得1.1-3分； 方案措施基本可行，合理性、针对性较差的得0-1分；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施工组织设计4</w:t>
            </w:r>
          </w:p>
        </w:tc>
        <w:tc>
          <w:tcPr>
            <w:tcW w:type="dxa" w:w="2492"/>
          </w:tcPr>
          <w:p>
            <w:pPr>
              <w:pStyle w:val="null3"/>
            </w:pPr>
            <w:r>
              <w:rPr>
                <w:rFonts w:ascii="仿宋_GB2312" w:hAnsi="仿宋_GB2312" w:cs="仿宋_GB2312" w:eastAsia="仿宋_GB2312"/>
              </w:rPr>
              <w:t>根据投标人针对本项目拟投入本项目的新技术、新产品、新工艺、新材料应用、施工现场扬尘预防措施进行评审： 措施科学合理、完全满足项目要求，合理性、针对性强得3.1-5分； 措施基本完整合理，能满足 项目要求，具有一定的合理性、可行性的得1.1-3分； 措施有部分缺漏，不能完全满足项目要求，合理性、针对性较差的得0-1分；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施工组织设计5</w:t>
            </w:r>
          </w:p>
        </w:tc>
        <w:tc>
          <w:tcPr>
            <w:tcW w:type="dxa" w:w="2492"/>
          </w:tcPr>
          <w:p>
            <w:pPr>
              <w:pStyle w:val="null3"/>
            </w:pPr>
            <w:r>
              <w:rPr>
                <w:rFonts w:ascii="仿宋_GB2312" w:hAnsi="仿宋_GB2312" w:cs="仿宋_GB2312" w:eastAsia="仿宋_GB2312"/>
              </w:rPr>
              <w:t>根据投标人提供的针对本项目的劳动力、机械设备和材料投入计划及保证措施进行评审： 劳动力、机械设备和材料投入计划及保证措施内容表述清晰，各项内容完整、措施科学合理、严谨得3.1-5分； 计划及保证措施内容基本明确，各项内容完整、措施具有一定的合理、严谨性得1.1-3分； 内容表述模糊，有缺项漏项得0-1分；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施工组织设计6</w:t>
            </w:r>
          </w:p>
        </w:tc>
        <w:tc>
          <w:tcPr>
            <w:tcW w:type="dxa" w:w="2492"/>
          </w:tcPr>
          <w:p>
            <w:pPr>
              <w:pStyle w:val="null3"/>
            </w:pPr>
            <w:r>
              <w:rPr>
                <w:rFonts w:ascii="仿宋_GB2312" w:hAnsi="仿宋_GB2312" w:cs="仿宋_GB2312" w:eastAsia="仿宋_GB2312"/>
              </w:rPr>
              <w:t>根据投标人针对本项目结合施工环境、特点，制定出有针对性的安全生产保证措施、文明施工保证措施、环保施工保证措施、防尘降噪保证措施和相关应急措施（突然停电、火灾等）的内容进行评审： 措施科学合理、完全满足项目要求，合理性、针对性强得3.1-5分； 措施科学基本合理、能满足项目要求，具有一定的合理性、针对性得1.1-3分； 措施基本有部分缺漏，合理性、针对性较差的得0-1分； 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综合评分法中的价格分统一采用低价优先法计算，即满足磋商文件要求且最后报价最低的供应商的价格为磋商基准价，其价格分为满分。其他供应商的价格分统一按照下列公式计算：磋商报价得分=（磋商基准价/最后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详见附件：供应商应提交的资格审查资料.docx</w:t>
      </w:r>
    </w:p>
    <w:p>
      <w:pPr>
        <w:pStyle w:val="null3"/>
        <w:ind w:firstLine="960"/>
      </w:pPr>
      <w:r>
        <w:rPr>
          <w:rFonts w:ascii="仿宋_GB2312" w:hAnsi="仿宋_GB2312" w:cs="仿宋_GB2312" w:eastAsia="仿宋_GB2312"/>
        </w:rPr>
        <w:t>详见附件：拟派项目经理证明材料.docx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详见附件：主要设备材料、品牌表.docx</w:t>
      </w:r>
    </w:p>
    <w:p>
      <w:pPr>
        <w:pStyle w:val="null3"/>
        <w:ind w:firstLine="960"/>
      </w:pPr>
      <w:r>
        <w:rPr>
          <w:rFonts w:ascii="仿宋_GB2312" w:hAnsi="仿宋_GB2312" w:cs="仿宋_GB2312" w:eastAsia="仿宋_GB2312"/>
        </w:rPr>
        <w:t>详见附件：主要材料合法来源渠道.docx</w:t>
      </w:r>
    </w:p>
    <w:p>
      <w:pPr>
        <w:pStyle w:val="null3"/>
        <w:ind w:firstLine="960"/>
      </w:pPr>
      <w:r>
        <w:rPr>
          <w:rFonts w:ascii="仿宋_GB2312" w:hAnsi="仿宋_GB2312" w:cs="仿宋_GB2312" w:eastAsia="仿宋_GB2312"/>
        </w:rPr>
        <w:t>详见附件：企业业绩.docx</w:t>
      </w:r>
    </w:p>
    <w:p>
      <w:pPr>
        <w:pStyle w:val="null3"/>
        <w:ind w:firstLine="960"/>
      </w:pPr>
      <w:r>
        <w:rPr>
          <w:rFonts w:ascii="仿宋_GB2312" w:hAnsi="仿宋_GB2312" w:cs="仿宋_GB2312" w:eastAsia="仿宋_GB2312"/>
        </w:rPr>
        <w:t>详见附件：项目部团队人员情况表.docx</w:t>
      </w:r>
    </w:p>
    <w:p>
      <w:pPr>
        <w:pStyle w:val="null3"/>
        <w:ind w:firstLine="960"/>
      </w:pPr>
      <w:r>
        <w:rPr>
          <w:rFonts w:ascii="仿宋_GB2312" w:hAnsi="仿宋_GB2312" w:cs="仿宋_GB2312" w:eastAsia="仿宋_GB2312"/>
        </w:rPr>
        <w:t>详见附件：安装、调试、对接方案.docx</w:t>
      </w:r>
    </w:p>
    <w:p>
      <w:pPr>
        <w:pStyle w:val="null3"/>
        <w:ind w:firstLine="960"/>
      </w:pPr>
      <w:r>
        <w:rPr>
          <w:rFonts w:ascii="仿宋_GB2312" w:hAnsi="仿宋_GB2312" w:cs="仿宋_GB2312" w:eastAsia="仿宋_GB2312"/>
        </w:rPr>
        <w:t>详见附件：售后服务方案.docx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