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版本号：GCZB2025-10-208-Q20251015001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电子顺磁共振波谱仪采购项目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GCZB2025-10-208-Q</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电子顺磁共振波谱仪采购项目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GCZB2025-10-208-Q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电子顺磁共振波谱仪采购项目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电子顺磁共振技术（EPR）是研究和分析含有未成对电子物质的最为必要的检测手段，能够原位和无损的电子、轨道和原子核等微观尺度的信息，是唯一能直接检测未成对电子的技术方法。未成对电子分布广泛，如自由基体系、过渡离子及其配合物、稀土离子及其配合物、掺杂材料、缺陷材料等。由于这些目标检测对象所含有的未成对电子含量处于mM、μM乃至nM级别，因此极低含量对电子顺磁共振谱仪的检测灵敏度提出了极为苛刻的要求。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采购包1（电子顺磁共振波谱仪采购项目）：属于专门面向中小企业采购。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中小企业声明函：本项目为专门面向中小企业项目，投标产品的制造商应为中型企业或小型、微型企业或监狱企业或残疾人福利性单位。投标产品的制造商为中型、小型、微型企业的，供应商提供《中小企业声明函》；投标产品的制造商为监狱企业的，供应商应提供投标产品制造商为监狱企业的证明文件；投标产品的制造商为残疾人福利性单位的，供应商应提供投标产品制造商为残疾人福利性单位的《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转账金额到账后，可持银行回执到西北大学国有资产管理处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陕西国创招标有限公司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子顺磁共振技术（EPR）是研究和分析含有未成对电子物质的最为必要的检测手段，能够原位和无损的电子、轨道和原子核等微观尺度的信息，是唯一能直接检测未成对电子的技术方法。未成对电子分布广泛，如自由基体系、过渡离子及其配合物、稀土离子及其配合物、掺杂材料、缺陷材料等。由于这些目标检测对象所含有的未成对电子含量处于mM、μM乃至nM级别，因此极低含量对电子顺磁共振谱仪的检测灵敏度提出了极为苛刻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电子顺磁共振波谱仪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标的名称：电子顺磁共振波谱仪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一、技术参数要求</w:t>
            </w:r>
          </w:p>
          <w:tbl>
            <w:tblPr>
              <w:tblBorders>
                <w:top w:val="none" w:color="000000" w:sz="4"/>
                <w:left w:val="none" w:color="000000" w:sz="4"/>
                <w:bottom w:val="none" w:color="000000" w:sz="4"/>
                <w:right w:val="none" w:color="000000" w:sz="4"/>
                <w:insideH w:val="none"/>
                <w:insideV w:val="none"/>
              </w:tblBorders>
            </w:tblPr>
            <w:tblGrid>
              <w:gridCol w:w="311"/>
              <w:gridCol w:w="462"/>
              <w:gridCol w:w="1184"/>
              <w:gridCol w:w="286"/>
              <w:gridCol w:w="308"/>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货物名称</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顺磁共振波谱仪</w:t>
                  </w:r>
                </w:p>
              </w:tc>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一、主机系统</w:t>
                  </w:r>
                </w:p>
                <w:p>
                  <w:pPr>
                    <w:pStyle w:val="null3"/>
                  </w:pPr>
                  <w:r>
                    <w:rPr>
                      <w:rFonts w:ascii="仿宋_GB2312" w:hAnsi="仿宋_GB2312" w:cs="仿宋_GB2312" w:eastAsia="仿宋_GB2312"/>
                      <w:sz w:val="21"/>
                    </w:rPr>
                    <w:t>1.</w:t>
                  </w:r>
                  <w:r>
                    <w:rPr>
                      <w:rFonts w:ascii="仿宋_GB2312" w:hAnsi="仿宋_GB2312" w:cs="仿宋_GB2312" w:eastAsia="仿宋_GB2312"/>
                      <w:sz w:val="24"/>
                    </w:rPr>
                    <w:t>连续波模式下探测信噪比：</w:t>
                  </w:r>
                  <w:r>
                    <w:rPr>
                      <w:rFonts w:ascii="仿宋_GB2312" w:hAnsi="仿宋_GB2312" w:cs="仿宋_GB2312" w:eastAsia="仿宋_GB2312"/>
                      <w:sz w:val="24"/>
                    </w:rPr>
                    <w:t xml:space="preserve">≥ </w:t>
                  </w:r>
                  <w:r>
                    <w:rPr>
                      <w:rFonts w:ascii="仿宋_GB2312" w:hAnsi="仿宋_GB2312" w:cs="仿宋_GB2312" w:eastAsia="仿宋_GB2312"/>
                      <w:sz w:val="24"/>
                    </w:rPr>
                    <w:t>800:1</w:t>
                  </w:r>
                </w:p>
                <w:p>
                  <w:pPr>
                    <w:pStyle w:val="null3"/>
                  </w:pPr>
                  <w:r>
                    <w:rPr>
                      <w:rFonts w:ascii="仿宋_GB2312" w:hAnsi="仿宋_GB2312" w:cs="仿宋_GB2312" w:eastAsia="仿宋_GB2312"/>
                      <w:sz w:val="21"/>
                    </w:rPr>
                    <w:t>2.</w:t>
                  </w:r>
                  <w:r>
                    <w:rPr>
                      <w:rFonts w:ascii="仿宋_GB2312" w:hAnsi="仿宋_GB2312" w:cs="仿宋_GB2312" w:eastAsia="仿宋_GB2312"/>
                      <w:sz w:val="24"/>
                    </w:rPr>
                    <w:t>绝对自旋数目灵敏度：</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vertAlign w:val="superscript"/>
                    </w:rPr>
                    <w:t>9</w:t>
                  </w:r>
                  <w:r>
                    <w:rPr>
                      <w:rFonts w:ascii="仿宋_GB2312" w:hAnsi="仿宋_GB2312" w:cs="仿宋_GB2312" w:eastAsia="仿宋_GB2312"/>
                      <w:sz w:val="24"/>
                    </w:rPr>
                    <w:t xml:space="preserve"> </w:t>
                  </w:r>
                  <w:r>
                    <w:rPr>
                      <w:rFonts w:ascii="仿宋_GB2312" w:hAnsi="仿宋_GB2312" w:cs="仿宋_GB2312" w:eastAsia="仿宋_GB2312"/>
                      <w:sz w:val="24"/>
                    </w:rPr>
                    <w:t>spins/(G</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i/>
                    </w:rPr>
                    <w:t>Hz</w:t>
                  </w:r>
                  <w:r>
                    <w:rPr>
                      <w:rFonts w:ascii="仿宋_GB2312" w:hAnsi="仿宋_GB2312" w:cs="仿宋_GB2312" w:eastAsia="仿宋_GB2312"/>
                      <w:sz w:val="24"/>
                    </w:rPr>
                    <w:t>)</w:t>
                  </w:r>
                  <w:r>
                    <w:rPr>
                      <w:rFonts w:ascii="仿宋_GB2312" w:hAnsi="仿宋_GB2312" w:cs="仿宋_GB2312" w:eastAsia="仿宋_GB2312"/>
                      <w:sz w:val="24"/>
                    </w:rPr>
                    <w:t>，提供相关证明材料（不限于产品彩页、官网截图、第三方检测报告等）</w:t>
                  </w:r>
                </w:p>
                <w:p>
                  <w:pPr>
                    <w:pStyle w:val="null3"/>
                  </w:pPr>
                  <w:r>
                    <w:rPr>
                      <w:rFonts w:ascii="仿宋_GB2312" w:hAnsi="仿宋_GB2312" w:cs="仿宋_GB2312" w:eastAsia="仿宋_GB2312"/>
                      <w:sz w:val="21"/>
                    </w:rPr>
                    <w:t>3.</w:t>
                  </w:r>
                  <w:r>
                    <w:rPr>
                      <w:rFonts w:ascii="仿宋_GB2312" w:hAnsi="仿宋_GB2312" w:cs="仿宋_GB2312" w:eastAsia="仿宋_GB2312"/>
                      <w:sz w:val="24"/>
                    </w:rPr>
                    <w:t>微波频率范围：</w:t>
                  </w:r>
                  <w:r>
                    <w:rPr>
                      <w:rFonts w:ascii="仿宋_GB2312" w:hAnsi="仿宋_GB2312" w:cs="仿宋_GB2312" w:eastAsia="仿宋_GB2312"/>
                      <w:sz w:val="24"/>
                    </w:rPr>
                    <w:t>9.2 ~ 9.9 GHz</w:t>
                  </w:r>
                </w:p>
                <w:p>
                  <w:pPr>
                    <w:pStyle w:val="null3"/>
                  </w:pPr>
                  <w:r>
                    <w:rPr>
                      <w:rFonts w:ascii="仿宋_GB2312" w:hAnsi="仿宋_GB2312" w:cs="仿宋_GB2312" w:eastAsia="仿宋_GB2312"/>
                      <w:sz w:val="21"/>
                    </w:rPr>
                    <w:t>4.</w:t>
                  </w:r>
                  <w:r>
                    <w:rPr>
                      <w:rFonts w:ascii="仿宋_GB2312" w:hAnsi="仿宋_GB2312" w:cs="仿宋_GB2312" w:eastAsia="仿宋_GB2312"/>
                      <w:sz w:val="24"/>
                    </w:rPr>
                    <w:t>最大微波功率衰减：</w:t>
                  </w:r>
                  <w:r>
                    <w:rPr>
                      <w:rFonts w:ascii="仿宋_GB2312" w:hAnsi="仿宋_GB2312" w:cs="仿宋_GB2312" w:eastAsia="仿宋_GB2312"/>
                      <w:sz w:val="24"/>
                    </w:rPr>
                    <w:t xml:space="preserve">≥ </w:t>
                  </w:r>
                  <w:r>
                    <w:rPr>
                      <w:rFonts w:ascii="仿宋_GB2312" w:hAnsi="仿宋_GB2312" w:cs="仿宋_GB2312" w:eastAsia="仿宋_GB2312"/>
                      <w:sz w:val="24"/>
                    </w:rPr>
                    <w:t>60 dB</w:t>
                  </w:r>
                </w:p>
                <w:p>
                  <w:pPr>
                    <w:pStyle w:val="null3"/>
                  </w:pPr>
                  <w:r>
                    <w:rPr>
                      <w:rFonts w:ascii="仿宋_GB2312" w:hAnsi="仿宋_GB2312" w:cs="仿宋_GB2312" w:eastAsia="仿宋_GB2312"/>
                      <w:sz w:val="21"/>
                    </w:rPr>
                    <w:t>5.</w:t>
                  </w:r>
                  <w:r>
                    <w:rPr>
                      <w:rFonts w:ascii="仿宋_GB2312" w:hAnsi="仿宋_GB2312" w:cs="仿宋_GB2312" w:eastAsia="仿宋_GB2312"/>
                      <w:sz w:val="24"/>
                    </w:rPr>
                    <w:t>微波功率范围包含：</w:t>
                  </w:r>
                  <w:r>
                    <w:rPr>
                      <w:rFonts w:ascii="仿宋_GB2312" w:hAnsi="仿宋_GB2312" w:cs="仿宋_GB2312" w:eastAsia="仿宋_GB2312"/>
                      <w:sz w:val="24"/>
                    </w:rPr>
                    <w:t>1</w:t>
                  </w:r>
                  <w:r>
                    <w:rPr>
                      <w:rFonts w:ascii="仿宋_GB2312" w:hAnsi="仿宋_GB2312" w:cs="仿宋_GB2312" w:eastAsia="仿宋_GB2312"/>
                      <w:sz w:val="24"/>
                    </w:rPr>
                    <w:t>μ</w:t>
                  </w:r>
                  <w:r>
                    <w:rPr>
                      <w:rFonts w:ascii="仿宋_GB2312" w:hAnsi="仿宋_GB2312" w:cs="仿宋_GB2312" w:eastAsia="仿宋_GB2312"/>
                      <w:sz w:val="24"/>
                    </w:rPr>
                    <w:t>W~100 mW</w:t>
                  </w:r>
                </w:p>
                <w:p>
                  <w:pPr>
                    <w:pStyle w:val="null3"/>
                  </w:pPr>
                  <w:r>
                    <w:rPr>
                      <w:rFonts w:ascii="仿宋_GB2312" w:hAnsi="仿宋_GB2312" w:cs="仿宋_GB2312" w:eastAsia="仿宋_GB2312"/>
                      <w:sz w:val="21"/>
                    </w:rPr>
                    <w:t>6.</w:t>
                  </w:r>
                  <w:r>
                    <w:rPr>
                      <w:rFonts w:ascii="仿宋_GB2312" w:hAnsi="仿宋_GB2312" w:cs="仿宋_GB2312" w:eastAsia="仿宋_GB2312"/>
                      <w:sz w:val="24"/>
                    </w:rPr>
                    <w:t>调制场频率：</w:t>
                  </w:r>
                  <w:r>
                    <w:rPr>
                      <w:rFonts w:ascii="仿宋_GB2312" w:hAnsi="仿宋_GB2312" w:cs="仿宋_GB2312" w:eastAsia="仿宋_GB2312"/>
                      <w:sz w:val="24"/>
                    </w:rPr>
                    <w:t>10kHz</w:t>
                  </w:r>
                  <w:r>
                    <w:rPr>
                      <w:rFonts w:ascii="仿宋_GB2312" w:hAnsi="仿宋_GB2312" w:cs="仿宋_GB2312" w:eastAsia="仿宋_GB2312"/>
                      <w:sz w:val="24"/>
                    </w:rPr>
                    <w:t>、</w:t>
                  </w:r>
                  <w:r>
                    <w:rPr>
                      <w:rFonts w:ascii="仿宋_GB2312" w:hAnsi="仿宋_GB2312" w:cs="仿宋_GB2312" w:eastAsia="仿宋_GB2312"/>
                      <w:sz w:val="24"/>
                    </w:rPr>
                    <w:t>50 kHz</w:t>
                  </w:r>
                  <w:r>
                    <w:rPr>
                      <w:rFonts w:ascii="仿宋_GB2312" w:hAnsi="仿宋_GB2312" w:cs="仿宋_GB2312" w:eastAsia="仿宋_GB2312"/>
                      <w:sz w:val="24"/>
                    </w:rPr>
                    <w:t>和</w:t>
                  </w:r>
                  <w:r>
                    <w:rPr>
                      <w:rFonts w:ascii="仿宋_GB2312" w:hAnsi="仿宋_GB2312" w:cs="仿宋_GB2312" w:eastAsia="仿宋_GB2312"/>
                      <w:sz w:val="24"/>
                    </w:rPr>
                    <w:t>100 kHz</w:t>
                  </w:r>
                  <w:r>
                    <w:rPr>
                      <w:rFonts w:ascii="仿宋_GB2312" w:hAnsi="仿宋_GB2312" w:cs="仿宋_GB2312" w:eastAsia="仿宋_GB2312"/>
                      <w:sz w:val="24"/>
                    </w:rPr>
                    <w:t>，提供相关证明材料（不限于产品彩页、官网截图、第三方检测报告等）</w:t>
                  </w:r>
                </w:p>
                <w:p>
                  <w:pPr>
                    <w:pStyle w:val="null3"/>
                  </w:pPr>
                  <w:r>
                    <w:rPr>
                      <w:rFonts w:ascii="仿宋_GB2312" w:hAnsi="仿宋_GB2312" w:cs="仿宋_GB2312" w:eastAsia="仿宋_GB2312"/>
                      <w:sz w:val="21"/>
                    </w:rPr>
                    <w:t>7.</w:t>
                  </w:r>
                  <w:r>
                    <w:rPr>
                      <w:rFonts w:ascii="仿宋_GB2312" w:hAnsi="仿宋_GB2312" w:cs="仿宋_GB2312" w:eastAsia="仿宋_GB2312"/>
                      <w:sz w:val="24"/>
                    </w:rPr>
                    <w:t>磁场范围：</w:t>
                  </w:r>
                  <w:r>
                    <w:rPr>
                      <w:rFonts w:ascii="仿宋_GB2312" w:hAnsi="仿宋_GB2312" w:cs="仿宋_GB2312" w:eastAsia="仿宋_GB2312"/>
                      <w:sz w:val="24"/>
                    </w:rPr>
                    <w:t>-1000</w:t>
                  </w:r>
                  <w:r>
                    <w:rPr>
                      <w:rFonts w:ascii="仿宋_GB2312" w:hAnsi="仿宋_GB2312" w:cs="仿宋_GB2312" w:eastAsia="仿宋_GB2312"/>
                      <w:sz w:val="19"/>
                    </w:rPr>
                    <w:t xml:space="preserve"> </w:t>
                  </w:r>
                  <w:r>
                    <w:rPr>
                      <w:rFonts w:ascii="仿宋_GB2312" w:hAnsi="仿宋_GB2312" w:cs="仿宋_GB2312" w:eastAsia="仿宋_GB2312"/>
                      <w:sz w:val="24"/>
                    </w:rPr>
                    <w:t>~</w:t>
                  </w:r>
                  <w:r>
                    <w:rPr>
                      <w:rFonts w:ascii="仿宋_GB2312" w:hAnsi="仿宋_GB2312" w:cs="仿宋_GB2312" w:eastAsia="仿宋_GB2312"/>
                      <w:sz w:val="19"/>
                    </w:rPr>
                    <w:t xml:space="preserve"> </w:t>
                  </w:r>
                  <w:r>
                    <w:rPr>
                      <w:rFonts w:ascii="仿宋_GB2312" w:hAnsi="仿宋_GB2312" w:cs="仿宋_GB2312" w:eastAsia="仿宋_GB2312"/>
                      <w:sz w:val="24"/>
                    </w:rPr>
                    <w:t>6500 Gauss</w:t>
                  </w:r>
                  <w:r>
                    <w:rPr>
                      <w:rFonts w:ascii="仿宋_GB2312" w:hAnsi="仿宋_GB2312" w:cs="仿宋_GB2312" w:eastAsia="仿宋_GB2312"/>
                      <w:sz w:val="24"/>
                    </w:rPr>
                    <w:t>（支持过零点扫描），提供相关证明材料（不限于产品彩页、官网截图、第三方检测报告等）</w:t>
                  </w:r>
                </w:p>
                <w:p>
                  <w:pPr>
                    <w:pStyle w:val="null3"/>
                  </w:pPr>
                  <w:r>
                    <w:rPr>
                      <w:rFonts w:ascii="仿宋_GB2312" w:hAnsi="仿宋_GB2312" w:cs="仿宋_GB2312" w:eastAsia="仿宋_GB2312"/>
                      <w:sz w:val="21"/>
                    </w:rPr>
                    <w:t>8.</w:t>
                  </w:r>
                  <w:r>
                    <w:rPr>
                      <w:rFonts w:ascii="仿宋_GB2312" w:hAnsi="仿宋_GB2312" w:cs="仿宋_GB2312" w:eastAsia="仿宋_GB2312"/>
                      <w:sz w:val="24"/>
                    </w:rPr>
                    <w:t>样品区域磁场均匀性：</w:t>
                  </w:r>
                  <w:r>
                    <w:rPr>
                      <w:rFonts w:ascii="仿宋_GB2312" w:hAnsi="仿宋_GB2312" w:cs="仿宋_GB2312" w:eastAsia="仿宋_GB2312"/>
                      <w:sz w:val="24"/>
                    </w:rPr>
                    <w:t xml:space="preserve">≤ </w:t>
                  </w:r>
                  <w:r>
                    <w:rPr>
                      <w:rFonts w:ascii="仿宋_GB2312" w:hAnsi="仿宋_GB2312" w:cs="仿宋_GB2312" w:eastAsia="仿宋_GB2312"/>
                      <w:sz w:val="24"/>
                    </w:rPr>
                    <w:t>50 mG</w:t>
                  </w:r>
                </w:p>
                <w:p>
                  <w:pPr>
                    <w:pStyle w:val="null3"/>
                  </w:pPr>
                  <w:r>
                    <w:rPr>
                      <w:rFonts w:ascii="仿宋_GB2312" w:hAnsi="仿宋_GB2312" w:cs="仿宋_GB2312" w:eastAsia="仿宋_GB2312"/>
                      <w:sz w:val="21"/>
                    </w:rPr>
                    <w:t>9.</w:t>
                  </w:r>
                  <w:r>
                    <w:rPr>
                      <w:rFonts w:ascii="仿宋_GB2312" w:hAnsi="仿宋_GB2312" w:cs="仿宋_GB2312" w:eastAsia="仿宋_GB2312"/>
                      <w:sz w:val="24"/>
                    </w:rPr>
                    <w:t>磁体冷却方式：风冷</w:t>
                  </w:r>
                </w:p>
                <w:p>
                  <w:pPr>
                    <w:pStyle w:val="null3"/>
                  </w:pPr>
                  <w:r>
                    <w:rPr>
                      <w:rFonts w:ascii="仿宋_GB2312" w:hAnsi="仿宋_GB2312" w:cs="仿宋_GB2312" w:eastAsia="仿宋_GB2312"/>
                      <w:sz w:val="21"/>
                    </w:rPr>
                    <w:t>10.</w:t>
                  </w:r>
                  <w:r>
                    <w:rPr>
                      <w:rFonts w:ascii="仿宋_GB2312" w:hAnsi="仿宋_GB2312" w:cs="仿宋_GB2312" w:eastAsia="仿宋_GB2312"/>
                      <w:sz w:val="24"/>
                    </w:rPr>
                    <w:t>扫描速度：</w:t>
                  </w:r>
                  <w:r>
                    <w:rPr>
                      <w:rFonts w:ascii="仿宋_GB2312" w:hAnsi="仿宋_GB2312" w:cs="仿宋_GB2312" w:eastAsia="仿宋_GB2312"/>
                      <w:sz w:val="24"/>
                    </w:rPr>
                    <w:t>5 ms/</w:t>
                  </w:r>
                  <w:r>
                    <w:rPr>
                      <w:rFonts w:ascii="仿宋_GB2312" w:hAnsi="仿宋_GB2312" w:cs="仿宋_GB2312" w:eastAsia="仿宋_GB2312"/>
                      <w:sz w:val="24"/>
                    </w:rPr>
                    <w:t>点</w:t>
                  </w:r>
                  <w:r>
                    <w:rPr>
                      <w:rFonts w:ascii="仿宋_GB2312" w:hAnsi="仿宋_GB2312" w:cs="仿宋_GB2312" w:eastAsia="仿宋_GB2312"/>
                      <w:sz w:val="24"/>
                    </w:rPr>
                    <w:t>~ 5 s/</w:t>
                  </w:r>
                  <w:r>
                    <w:rPr>
                      <w:rFonts w:ascii="仿宋_GB2312" w:hAnsi="仿宋_GB2312" w:cs="仿宋_GB2312" w:eastAsia="仿宋_GB2312"/>
                      <w:sz w:val="24"/>
                    </w:rPr>
                    <w:t>点</w:t>
                  </w:r>
                </w:p>
                <w:p>
                  <w:pPr>
                    <w:pStyle w:val="null3"/>
                  </w:pPr>
                  <w:r>
                    <w:rPr>
                      <w:rFonts w:ascii="仿宋_GB2312" w:hAnsi="仿宋_GB2312" w:cs="仿宋_GB2312" w:eastAsia="仿宋_GB2312"/>
                      <w:sz w:val="21"/>
                    </w:rPr>
                    <w:t>11.</w:t>
                  </w:r>
                  <w:r>
                    <w:rPr>
                      <w:rFonts w:ascii="仿宋_GB2312" w:hAnsi="仿宋_GB2312" w:cs="仿宋_GB2312" w:eastAsia="仿宋_GB2312"/>
                      <w:sz w:val="24"/>
                    </w:rPr>
                    <w:t>最大扫描点数：</w:t>
                  </w:r>
                  <w:r>
                    <w:rPr>
                      <w:rFonts w:ascii="仿宋_GB2312" w:hAnsi="仿宋_GB2312" w:cs="仿宋_GB2312" w:eastAsia="仿宋_GB2312"/>
                      <w:sz w:val="24"/>
                    </w:rPr>
                    <w:t>≥</w:t>
                  </w:r>
                  <w:r>
                    <w:rPr>
                      <w:rFonts w:ascii="仿宋_GB2312" w:hAnsi="仿宋_GB2312" w:cs="仿宋_GB2312" w:eastAsia="仿宋_GB2312"/>
                      <w:sz w:val="24"/>
                    </w:rPr>
                    <w:t>256000</w:t>
                  </w:r>
                  <w:r>
                    <w:rPr>
                      <w:rFonts w:ascii="仿宋_GB2312" w:hAnsi="仿宋_GB2312" w:cs="仿宋_GB2312" w:eastAsia="仿宋_GB2312"/>
                      <w:sz w:val="24"/>
                    </w:rPr>
                    <w:t>点</w:t>
                  </w:r>
                </w:p>
                <w:p>
                  <w:pPr>
                    <w:pStyle w:val="null3"/>
                  </w:pPr>
                  <w:r>
                    <w:rPr>
                      <w:rFonts w:ascii="仿宋_GB2312" w:hAnsi="仿宋_GB2312" w:cs="仿宋_GB2312" w:eastAsia="仿宋_GB2312"/>
                      <w:sz w:val="21"/>
                    </w:rPr>
                    <w:t>12.</w:t>
                  </w:r>
                  <w:r>
                    <w:rPr>
                      <w:rFonts w:ascii="仿宋_GB2312" w:hAnsi="仿宋_GB2312" w:cs="仿宋_GB2312" w:eastAsia="仿宋_GB2312"/>
                      <w:sz w:val="24"/>
                    </w:rPr>
                    <w:t>无载</w:t>
                  </w:r>
                  <w:r>
                    <w:rPr>
                      <w:rFonts w:ascii="仿宋_GB2312" w:hAnsi="仿宋_GB2312" w:cs="仿宋_GB2312" w:eastAsia="仿宋_GB2312"/>
                      <w:sz w:val="24"/>
                    </w:rPr>
                    <w:t>Q</w:t>
                  </w:r>
                  <w:r>
                    <w:rPr>
                      <w:rFonts w:ascii="仿宋_GB2312" w:hAnsi="仿宋_GB2312" w:cs="仿宋_GB2312" w:eastAsia="仿宋_GB2312"/>
                      <w:sz w:val="24"/>
                    </w:rPr>
                    <w:t>值范围：≥</w:t>
                  </w:r>
                  <w:r>
                    <w:rPr>
                      <w:rFonts w:ascii="仿宋_GB2312" w:hAnsi="仿宋_GB2312" w:cs="仿宋_GB2312" w:eastAsia="仿宋_GB2312"/>
                      <w:sz w:val="24"/>
                    </w:rPr>
                    <w:t>6000</w:t>
                  </w:r>
                </w:p>
                <w:p>
                  <w:pPr>
                    <w:pStyle w:val="null3"/>
                  </w:pPr>
                  <w:r>
                    <w:rPr>
                      <w:rFonts w:ascii="仿宋_GB2312" w:hAnsi="仿宋_GB2312" w:cs="仿宋_GB2312" w:eastAsia="仿宋_GB2312"/>
                      <w:sz w:val="21"/>
                    </w:rPr>
                    <w:t>13.</w:t>
                  </w:r>
                  <w:r>
                    <w:rPr>
                      <w:rFonts w:ascii="仿宋_GB2312" w:hAnsi="仿宋_GB2312" w:cs="仿宋_GB2312" w:eastAsia="仿宋_GB2312"/>
                      <w:sz w:val="24"/>
                    </w:rPr>
                    <w:t>最大调制场幅度：</w:t>
                  </w:r>
                  <w:r>
                    <w:rPr>
                      <w:rFonts w:ascii="仿宋_GB2312" w:hAnsi="仿宋_GB2312" w:cs="仿宋_GB2312" w:eastAsia="仿宋_GB2312"/>
                      <w:sz w:val="24"/>
                    </w:rPr>
                    <w:t>≥</w:t>
                  </w:r>
                  <w:r>
                    <w:rPr>
                      <w:rFonts w:ascii="仿宋_GB2312" w:hAnsi="仿宋_GB2312" w:cs="仿宋_GB2312" w:eastAsia="仿宋_GB2312"/>
                      <w:sz w:val="24"/>
                    </w:rPr>
                    <w:t>10 Gauss</w:t>
                  </w:r>
                </w:p>
                <w:p>
                  <w:pPr>
                    <w:pStyle w:val="null3"/>
                  </w:pPr>
                  <w:r>
                    <w:rPr>
                      <w:rFonts w:ascii="仿宋_GB2312" w:hAnsi="仿宋_GB2312" w:cs="仿宋_GB2312" w:eastAsia="仿宋_GB2312"/>
                      <w:sz w:val="21"/>
                    </w:rPr>
                    <w:t>14.</w:t>
                  </w:r>
                  <w:r>
                    <w:rPr>
                      <w:rFonts w:ascii="仿宋_GB2312" w:hAnsi="仿宋_GB2312" w:cs="仿宋_GB2312" w:eastAsia="仿宋_GB2312"/>
                      <w:sz w:val="24"/>
                    </w:rPr>
                    <w:t>支持原位光照系统</w:t>
                  </w:r>
                </w:p>
                <w:p>
                  <w:pPr>
                    <w:pStyle w:val="null3"/>
                  </w:pPr>
                  <w:r>
                    <w:rPr>
                      <w:rFonts w:ascii="仿宋_GB2312" w:hAnsi="仿宋_GB2312" w:cs="仿宋_GB2312" w:eastAsia="仿宋_GB2312"/>
                      <w:sz w:val="21"/>
                    </w:rPr>
                    <w:t>15.</w:t>
                  </w:r>
                  <w:r>
                    <w:rPr>
                      <w:rFonts w:ascii="仿宋_GB2312" w:hAnsi="仿宋_GB2312" w:cs="仿宋_GB2312" w:eastAsia="仿宋_GB2312"/>
                      <w:sz w:val="24"/>
                    </w:rPr>
                    <w:t>支持自动调谐</w:t>
                  </w:r>
                </w:p>
                <w:p>
                  <w:pPr>
                    <w:pStyle w:val="null3"/>
                  </w:pPr>
                  <w:r>
                    <w:rPr>
                      <w:rFonts w:ascii="仿宋_GB2312" w:hAnsi="仿宋_GB2312" w:cs="仿宋_GB2312" w:eastAsia="仿宋_GB2312"/>
                      <w:sz w:val="21"/>
                    </w:rPr>
                    <w:t>16.</w:t>
                  </w:r>
                  <w:r>
                    <w:rPr>
                      <w:rFonts w:ascii="仿宋_GB2312" w:hAnsi="仿宋_GB2312" w:cs="仿宋_GB2312" w:eastAsia="仿宋_GB2312"/>
                      <w:sz w:val="24"/>
                    </w:rPr>
                    <w:t>支持</w:t>
                  </w:r>
                  <w:r>
                    <w:rPr>
                      <w:rFonts w:ascii="仿宋_GB2312" w:hAnsi="仿宋_GB2312" w:cs="仿宋_GB2312" w:eastAsia="仿宋_GB2312"/>
                      <w:sz w:val="24"/>
                    </w:rPr>
                    <w:t>Q</w:t>
                  </w:r>
                  <w:r>
                    <w:rPr>
                      <w:rFonts w:ascii="仿宋_GB2312" w:hAnsi="仿宋_GB2312" w:cs="仿宋_GB2312" w:eastAsia="仿宋_GB2312"/>
                      <w:sz w:val="24"/>
                    </w:rPr>
                    <w:t>值可在软件端实时显示并被存储</w:t>
                  </w:r>
                </w:p>
                <w:p>
                  <w:pPr>
                    <w:pStyle w:val="null3"/>
                  </w:pPr>
                  <w:r>
                    <w:rPr>
                      <w:rFonts w:ascii="仿宋_GB2312" w:hAnsi="仿宋_GB2312" w:cs="仿宋_GB2312" w:eastAsia="仿宋_GB2312"/>
                      <w:sz w:val="21"/>
                    </w:rPr>
                    <w:t>17.</w:t>
                  </w:r>
                  <w:r>
                    <w:rPr>
                      <w:rFonts w:ascii="仿宋_GB2312" w:hAnsi="仿宋_GB2312" w:cs="仿宋_GB2312" w:eastAsia="仿宋_GB2312"/>
                      <w:sz w:val="24"/>
                    </w:rPr>
                    <w:t>支持相对定量</w:t>
                  </w:r>
                  <w:r>
                    <w:rPr>
                      <w:rFonts w:ascii="仿宋_GB2312" w:hAnsi="仿宋_GB2312" w:cs="仿宋_GB2312" w:eastAsia="仿宋_GB2312"/>
                      <w:sz w:val="24"/>
                    </w:rPr>
                    <w:t>EPR</w:t>
                  </w:r>
                  <w:r>
                    <w:rPr>
                      <w:rFonts w:ascii="仿宋_GB2312" w:hAnsi="仿宋_GB2312" w:cs="仿宋_GB2312" w:eastAsia="仿宋_GB2312"/>
                      <w:sz w:val="24"/>
                    </w:rPr>
                    <w:t>计算</w:t>
                  </w:r>
                </w:p>
                <w:p>
                  <w:pPr>
                    <w:pStyle w:val="null3"/>
                  </w:pPr>
                  <w:r>
                    <w:rPr>
                      <w:rFonts w:ascii="仿宋_GB2312" w:hAnsi="仿宋_GB2312" w:cs="仿宋_GB2312" w:eastAsia="仿宋_GB2312"/>
                      <w:sz w:val="21"/>
                    </w:rPr>
                    <w:t>18.</w:t>
                  </w:r>
                  <w:r>
                    <w:rPr>
                      <w:rFonts w:ascii="仿宋_GB2312" w:hAnsi="仿宋_GB2312" w:cs="仿宋_GB2312" w:eastAsia="仿宋_GB2312"/>
                      <w:sz w:val="24"/>
                    </w:rPr>
                    <w:t>支持无需标样的绝对自旋数定量</w:t>
                  </w:r>
                  <w:r>
                    <w:rPr>
                      <w:rFonts w:ascii="仿宋_GB2312" w:hAnsi="仿宋_GB2312" w:cs="仿宋_GB2312" w:eastAsia="仿宋_GB2312"/>
                      <w:sz w:val="24"/>
                    </w:rPr>
                    <w:t>EPR</w:t>
                  </w:r>
                  <w:r>
                    <w:rPr>
                      <w:rFonts w:ascii="仿宋_GB2312" w:hAnsi="仿宋_GB2312" w:cs="仿宋_GB2312" w:eastAsia="仿宋_GB2312"/>
                      <w:sz w:val="24"/>
                    </w:rPr>
                    <w:t>计算</w:t>
                  </w:r>
                </w:p>
                <w:p>
                  <w:pPr>
                    <w:pStyle w:val="null3"/>
                    <w:jc w:val="both"/>
                  </w:pPr>
                  <w:r>
                    <w:rPr>
                      <w:rFonts w:ascii="仿宋_GB2312" w:hAnsi="仿宋_GB2312" w:cs="仿宋_GB2312" w:eastAsia="仿宋_GB2312"/>
                      <w:sz w:val="24"/>
                      <w:b/>
                    </w:rPr>
                    <w:t>二、原位光照系统</w:t>
                  </w:r>
                </w:p>
                <w:p>
                  <w:pPr>
                    <w:pStyle w:val="null3"/>
                    <w:jc w:val="both"/>
                  </w:pPr>
                  <w:r>
                    <w:rPr>
                      <w:rFonts w:ascii="仿宋_GB2312" w:hAnsi="仿宋_GB2312" w:cs="仿宋_GB2312" w:eastAsia="仿宋_GB2312"/>
                      <w:sz w:val="24"/>
                      <w:shd w:fill="FFFFFF" w:val="clear"/>
                    </w:rPr>
                    <w:t xml:space="preserve">1. </w:t>
                  </w:r>
                  <w:r>
                    <w:rPr>
                      <w:rFonts w:ascii="仿宋_GB2312" w:hAnsi="仿宋_GB2312" w:cs="仿宋_GB2312" w:eastAsia="仿宋_GB2312"/>
                      <w:sz w:val="24"/>
                      <w:shd w:fill="FFFFFF" w:val="clear"/>
                    </w:rPr>
                    <w:t>光谱范围：包含</w:t>
                  </w:r>
                  <w:r>
                    <w:rPr>
                      <w:rFonts w:ascii="仿宋_GB2312" w:hAnsi="仿宋_GB2312" w:cs="仿宋_GB2312" w:eastAsia="仿宋_GB2312"/>
                      <w:sz w:val="24"/>
                      <w:shd w:fill="FFFFFF" w:val="clear"/>
                    </w:rPr>
                    <w:t xml:space="preserve">320 </w:t>
                  </w:r>
                  <w:r>
                    <w:rPr>
                      <w:rFonts w:ascii="仿宋_GB2312" w:hAnsi="仿宋_GB2312" w:cs="仿宋_GB2312" w:eastAsia="仿宋_GB2312"/>
                      <w:sz w:val="24"/>
                    </w:rPr>
                    <w:t>~</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780 nm</w:t>
                  </w:r>
                </w:p>
                <w:p>
                  <w:pPr>
                    <w:pStyle w:val="null3"/>
                    <w:jc w:val="both"/>
                  </w:pPr>
                  <w:r>
                    <w:rPr>
                      <w:rFonts w:ascii="仿宋_GB2312" w:hAnsi="仿宋_GB2312" w:cs="仿宋_GB2312" w:eastAsia="仿宋_GB2312"/>
                      <w:sz w:val="24"/>
                      <w:shd w:fill="FFFFFF" w:val="clear"/>
                    </w:rPr>
                    <w:t xml:space="preserve">2. </w:t>
                  </w:r>
                  <w:r>
                    <w:rPr>
                      <w:rFonts w:ascii="仿宋_GB2312" w:hAnsi="仿宋_GB2312" w:cs="仿宋_GB2312" w:eastAsia="仿宋_GB2312"/>
                      <w:sz w:val="24"/>
                      <w:shd w:fill="FFFFFF" w:val="clear"/>
                    </w:rPr>
                    <w:t>灯泡电功率：</w:t>
                  </w:r>
                  <w:r>
                    <w:rPr>
                      <w:rFonts w:ascii="仿宋_GB2312" w:hAnsi="仿宋_GB2312" w:cs="仿宋_GB2312" w:eastAsia="仿宋_GB2312"/>
                      <w:sz w:val="24"/>
                    </w:rPr>
                    <w:t>≥</w:t>
                  </w:r>
                  <w:r>
                    <w:rPr>
                      <w:rFonts w:ascii="仿宋_GB2312" w:hAnsi="仿宋_GB2312" w:cs="仿宋_GB2312" w:eastAsia="仿宋_GB2312"/>
                      <w:sz w:val="24"/>
                      <w:shd w:fill="FFFFFF" w:val="clear"/>
                    </w:rPr>
                    <w:t>300 W</w:t>
                  </w:r>
                </w:p>
                <w:p>
                  <w:pPr>
                    <w:pStyle w:val="null3"/>
                    <w:jc w:val="both"/>
                  </w:pPr>
                  <w:r>
                    <w:rPr>
                      <w:rFonts w:ascii="仿宋_GB2312" w:hAnsi="仿宋_GB2312" w:cs="仿宋_GB2312" w:eastAsia="仿宋_GB2312"/>
                      <w:sz w:val="24"/>
                      <w:shd w:fill="FFFFFF" w:val="clear"/>
                    </w:rPr>
                    <w:t xml:space="preserve">3. </w:t>
                  </w:r>
                  <w:r>
                    <w:rPr>
                      <w:rFonts w:ascii="仿宋_GB2312" w:hAnsi="仿宋_GB2312" w:cs="仿宋_GB2312" w:eastAsia="仿宋_GB2312"/>
                      <w:sz w:val="24"/>
                      <w:shd w:fill="FFFFFF" w:val="clear"/>
                    </w:rPr>
                    <w:t>总辐射光功率：</w:t>
                  </w:r>
                  <w:r>
                    <w:rPr>
                      <w:rFonts w:ascii="仿宋_GB2312" w:hAnsi="仿宋_GB2312" w:cs="仿宋_GB2312" w:eastAsia="仿宋_GB2312"/>
                      <w:sz w:val="24"/>
                    </w:rPr>
                    <w:t>≥</w:t>
                  </w:r>
                  <w:r>
                    <w:rPr>
                      <w:rFonts w:ascii="仿宋_GB2312" w:hAnsi="仿宋_GB2312" w:cs="仿宋_GB2312" w:eastAsia="仿宋_GB2312"/>
                      <w:sz w:val="24"/>
                      <w:shd w:fill="FFFFFF" w:val="clear"/>
                    </w:rPr>
                    <w:t>50 W</w:t>
                  </w:r>
                </w:p>
                <w:p>
                  <w:pPr>
                    <w:pStyle w:val="null3"/>
                    <w:jc w:val="both"/>
                  </w:pPr>
                  <w:r>
                    <w:rPr>
                      <w:rFonts w:ascii="仿宋_GB2312" w:hAnsi="仿宋_GB2312" w:cs="仿宋_GB2312" w:eastAsia="仿宋_GB2312"/>
                      <w:sz w:val="24"/>
                    </w:rPr>
                    <w:t xml:space="preserve">4. </w:t>
                  </w:r>
                  <w:r>
                    <w:rPr>
                      <w:rFonts w:ascii="仿宋_GB2312" w:hAnsi="仿宋_GB2312" w:cs="仿宋_GB2312" w:eastAsia="仿宋_GB2312"/>
                      <w:sz w:val="24"/>
                    </w:rPr>
                    <w:t>支持≥</w:t>
                  </w:r>
                  <w:r>
                    <w:rPr>
                      <w:rFonts w:ascii="仿宋_GB2312" w:hAnsi="仿宋_GB2312" w:cs="仿宋_GB2312" w:eastAsia="仿宋_GB2312"/>
                      <w:sz w:val="24"/>
                    </w:rPr>
                    <w:t>6</w:t>
                  </w:r>
                  <w:r>
                    <w:rPr>
                      <w:rFonts w:ascii="仿宋_GB2312" w:hAnsi="仿宋_GB2312" w:cs="仿宋_GB2312" w:eastAsia="仿宋_GB2312"/>
                      <w:sz w:val="24"/>
                    </w:rPr>
                    <w:t>位电动滤光轮，软件控制切换，提供相关证明材料（不限于产品彩页、官网截图、第三方检测报告等）</w:t>
                  </w:r>
                </w:p>
                <w:p>
                  <w:pPr>
                    <w:pStyle w:val="null3"/>
                    <w:jc w:val="both"/>
                  </w:pPr>
                  <w:r>
                    <w:rPr>
                      <w:rFonts w:ascii="仿宋_GB2312" w:hAnsi="仿宋_GB2312" w:cs="仿宋_GB2312" w:eastAsia="仿宋_GB2312"/>
                      <w:sz w:val="24"/>
                      <w:b/>
                    </w:rPr>
                    <w:t>三、液氮变温系统</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温度范围：</w:t>
                  </w:r>
                  <w:r>
                    <w:rPr>
                      <w:rFonts w:ascii="仿宋_GB2312" w:hAnsi="仿宋_GB2312" w:cs="仿宋_GB2312" w:eastAsia="仿宋_GB2312"/>
                      <w:sz w:val="24"/>
                    </w:rPr>
                    <w:t>100 K</w:t>
                  </w:r>
                  <w:r>
                    <w:rPr>
                      <w:rFonts w:ascii="仿宋_GB2312" w:hAnsi="仿宋_GB2312" w:cs="仿宋_GB2312" w:eastAsia="仿宋_GB2312"/>
                      <w:sz w:val="24"/>
                    </w:rPr>
                    <w:t>~</w:t>
                  </w:r>
                  <w:r>
                    <w:rPr>
                      <w:rFonts w:ascii="仿宋_GB2312" w:hAnsi="仿宋_GB2312" w:cs="仿宋_GB2312" w:eastAsia="仿宋_GB2312"/>
                      <w:sz w:val="24"/>
                    </w:rPr>
                    <w:t>600 K</w:t>
                  </w:r>
                  <w:r>
                    <w:rPr>
                      <w:rFonts w:ascii="仿宋_GB2312" w:hAnsi="仿宋_GB2312" w:cs="仿宋_GB2312" w:eastAsia="仿宋_GB2312"/>
                      <w:sz w:val="24"/>
                    </w:rPr>
                    <w:t>，</w:t>
                  </w:r>
                  <w:r>
                    <w:rPr>
                      <w:rFonts w:ascii="仿宋_GB2312" w:hAnsi="仿宋_GB2312" w:cs="仿宋_GB2312" w:eastAsia="仿宋_GB2312"/>
                      <w:sz w:val="24"/>
                    </w:rPr>
                    <w:t>提供相关证明材料（不限于产品彩页、官网截图、第三方检测报告等）</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 xml:space="preserve">温度稳定性：± </w:t>
                  </w:r>
                  <w:r>
                    <w:rPr>
                      <w:rFonts w:ascii="仿宋_GB2312" w:hAnsi="仿宋_GB2312" w:cs="仿宋_GB2312" w:eastAsia="仿宋_GB2312"/>
                      <w:sz w:val="24"/>
                    </w:rPr>
                    <w:t>0.2 K</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系统包括：</w:t>
                  </w:r>
                  <w:r>
                    <w:rPr>
                      <w:rFonts w:ascii="仿宋_GB2312" w:hAnsi="仿宋_GB2312" w:cs="仿宋_GB2312" w:eastAsia="仿宋_GB2312"/>
                      <w:sz w:val="24"/>
                    </w:rPr>
                    <w:t>T</w:t>
                  </w:r>
                  <w:r>
                    <w:rPr>
                      <w:rFonts w:ascii="仿宋_GB2312" w:hAnsi="仿宋_GB2312" w:cs="仿宋_GB2312" w:eastAsia="仿宋_GB2312"/>
                      <w:sz w:val="24"/>
                    </w:rPr>
                    <w:t>型石英杜瓦、加热及温控模块、</w:t>
                  </w:r>
                  <w:r>
                    <w:rPr>
                      <w:rFonts w:ascii="仿宋_GB2312" w:hAnsi="仿宋_GB2312" w:cs="仿宋_GB2312" w:eastAsia="仿宋_GB2312"/>
                      <w:sz w:val="24"/>
                    </w:rPr>
                    <w:t>PID</w:t>
                  </w:r>
                  <w:r>
                    <w:rPr>
                      <w:rFonts w:ascii="仿宋_GB2312" w:hAnsi="仿宋_GB2312" w:cs="仿宋_GB2312" w:eastAsia="仿宋_GB2312"/>
                      <w:sz w:val="24"/>
                    </w:rPr>
                    <w:t>调控温控仪、可变温插入式蒸发器、</w:t>
                  </w:r>
                  <w:r>
                    <w:rPr>
                      <w:rFonts w:ascii="仿宋_GB2312" w:hAnsi="仿宋_GB2312" w:cs="仿宋_GB2312" w:eastAsia="仿宋_GB2312"/>
                      <w:sz w:val="24"/>
                    </w:rPr>
                    <w:t>30 L</w:t>
                  </w:r>
                  <w:r>
                    <w:rPr>
                      <w:rFonts w:ascii="仿宋_GB2312" w:hAnsi="仿宋_GB2312" w:cs="仿宋_GB2312" w:eastAsia="仿宋_GB2312"/>
                      <w:sz w:val="24"/>
                    </w:rPr>
                    <w:t>液氮杜瓦罐、可调电源、保护气路、变温系统支撑平台</w:t>
                  </w:r>
                </w:p>
                <w:p>
                  <w:pPr>
                    <w:pStyle w:val="null3"/>
                    <w:jc w:val="both"/>
                  </w:pPr>
                  <w:r>
                    <w:rPr>
                      <w:rFonts w:ascii="仿宋_GB2312" w:hAnsi="仿宋_GB2312" w:cs="仿宋_GB2312" w:eastAsia="仿宋_GB2312"/>
                      <w:sz w:val="24"/>
                    </w:rPr>
                    <w:t xml:space="preserve">4. </w:t>
                  </w:r>
                  <w:r>
                    <w:rPr>
                      <w:rFonts w:ascii="仿宋_GB2312" w:hAnsi="仿宋_GB2312" w:cs="仿宋_GB2312" w:eastAsia="仿宋_GB2312"/>
                      <w:sz w:val="24"/>
                    </w:rPr>
                    <w:t xml:space="preserve">支持样品管外径：≤ </w:t>
                  </w:r>
                  <w:r>
                    <w:rPr>
                      <w:rFonts w:ascii="仿宋_GB2312" w:hAnsi="仿宋_GB2312" w:cs="仿宋_GB2312" w:eastAsia="仿宋_GB2312"/>
                      <w:sz w:val="24"/>
                    </w:rPr>
                    <w:t>4 mm</w:t>
                  </w:r>
                </w:p>
                <w:p>
                  <w:pPr>
                    <w:pStyle w:val="null3"/>
                    <w:jc w:val="both"/>
                  </w:pPr>
                  <w:r>
                    <w:rPr>
                      <w:rFonts w:ascii="仿宋_GB2312" w:hAnsi="仿宋_GB2312" w:cs="仿宋_GB2312" w:eastAsia="仿宋_GB2312"/>
                      <w:sz w:val="24"/>
                    </w:rPr>
                    <w:t xml:space="preserve">5. </w:t>
                  </w:r>
                  <w:r>
                    <w:rPr>
                      <w:rFonts w:ascii="仿宋_GB2312" w:hAnsi="仿宋_GB2312" w:cs="仿宋_GB2312" w:eastAsia="仿宋_GB2312"/>
                      <w:sz w:val="24"/>
                    </w:rPr>
                    <w:t>制冷源：液氮</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bl>
          <w:p>
            <w:pPr>
              <w:pStyle w:val="null3"/>
              <w:jc w:val="both"/>
            </w:pPr>
            <w:r>
              <w:rPr>
                <w:rFonts w:ascii="仿宋_GB2312" w:hAnsi="仿宋_GB2312" w:cs="仿宋_GB2312" w:eastAsia="仿宋_GB2312"/>
                <w:b/>
              </w:rPr>
              <w:t>注：</w:t>
            </w:r>
            <w:r>
              <w:rPr>
                <w:rFonts w:ascii="仿宋_GB2312" w:hAnsi="仿宋_GB2312" w:cs="仿宋_GB2312" w:eastAsia="仿宋_GB2312"/>
                <w:b/>
              </w:rPr>
              <w:t>1、以上所有技术指标必须满足要求没有负偏离，否则按无效文件处理；</w:t>
            </w:r>
          </w:p>
          <w:p>
            <w:pPr>
              <w:pStyle w:val="null3"/>
              <w:jc w:val="both"/>
            </w:pPr>
            <w:r>
              <w:rPr>
                <w:rFonts w:ascii="仿宋_GB2312" w:hAnsi="仿宋_GB2312" w:cs="仿宋_GB2312" w:eastAsia="仿宋_GB2312"/>
                <w:sz w:val="21"/>
                <w:b/>
              </w:rPr>
              <w:t>2、要求提供佐证材料的必须提供，否则视为负偏离，按无效文件处理</w:t>
            </w:r>
            <w:r>
              <w:rPr>
                <w:rFonts w:ascii="仿宋_GB2312" w:hAnsi="仿宋_GB2312" w:cs="仿宋_GB2312" w:eastAsia="仿宋_GB2312"/>
                <w:sz w:val="21"/>
                <w:b/>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交货期：自合同签订之日起90天内到货，7天内安装调试并交付使用。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西北大学长安校区城市与环境学院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一、售后服务标准要求： 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3.售后服务效率要求：即时响应（包括电话响应）；电话响应无法解决时，24小时内到达现场。修复时间24小时内；如24小时内无法修复，应提供相应解决方案。 二、1.保证金退还: 1）未中标单位：招标结束后，将根据所提供信息退还各投标单位保证金，无需亲自前来办理；2）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中标服务费查询请联系财务部：029-89286620转808。 2.为顺利推进政府采购电子化交易平台应用工作，供应商需要在线提交所有通过电子化交易平台实施的政府采购项目的响应文件，同时，线下提交响应文件壹份,若电子响应文件与纸质响应文件不一致的，以电子响应文件为准。线下递交文件时间：详见本项目谈判公告文件截止时间；线下递交文件地点：西安市高新区高新一路5号正信大厦A座24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近三年无重大违法声明.docx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履行合同所必需的设备和专业技术能力的说明及承诺.docx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供应商提供《中小企业声明函》；投标产品的制造商为监狱企业的，供应商应提供投标产品制造商为监狱企业的证明文件；投标产品的制造商为残疾人福利性单位的，供应商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法定代表人证明书与法定代表人授权书.docx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（3）报价未超出采购预算或谈判文件规定的最高限价。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完全理解并接受对合格供应商、合格的货物、工程或服务要求，根据供应商响应文件《技术要求及商务要求偏差表》没有负偏离。</w:t>
            </w:r>
          </w:p>
        </w:tc>
        <w:tc>
          <w:tcPr>
            <w:tcW w:type="dxa" w:w="1661"/>
          </w:tcPr>
          <w:p>
            <w:pPr>
              <w:pStyle w:val="null3"/>
            </w:pPr>
            <w:r>
              <w:rPr>
                <w:rFonts w:ascii="仿宋_GB2312" w:hAnsi="仿宋_GB2312" w:cs="仿宋_GB2312" w:eastAsia="仿宋_GB2312"/>
              </w:rPr>
              <w:t>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无其他谈判文件或法规明确规定投标无效的事项</w:t>
            </w:r>
          </w:p>
        </w:tc>
        <w:tc>
          <w:tcPr>
            <w:tcW w:type="dxa" w:w="3322"/>
          </w:tcPr>
          <w:p>
            <w:pPr>
              <w:pStyle w:val="null3"/>
            </w:pPr>
            <w:r>
              <w:rPr>
                <w:rFonts w:ascii="仿宋_GB2312" w:hAnsi="仿宋_GB2312" w:cs="仿宋_GB2312" w:eastAsia="仿宋_GB2312"/>
              </w:rPr>
              <w:t>没有不符合谈判文件规定的被视为无效投标的其他条款。</w:t>
            </w:r>
          </w:p>
        </w:tc>
        <w:tc>
          <w:tcPr>
            <w:tcW w:type="dxa" w:w="1661"/>
          </w:tcPr>
          <w:p>
            <w:pPr>
              <w:pStyle w:val="null3"/>
            </w:pPr>
            <w:r>
              <w:rPr>
                <w:rFonts w:ascii="仿宋_GB2312" w:hAnsi="仿宋_GB2312" w:cs="仿宋_GB2312" w:eastAsia="仿宋_GB2312"/>
              </w:rPr>
              <w:t>商务应答表 技术指标偏差表.docx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有完全理解并接受谈判文件合同基本条款要求的描述。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详见附件：近三年无重大违法声明.docx</w:t>
      </w:r>
    </w:p>
    <w:p>
      <w:pPr>
        <w:pStyle w:val="null3"/>
        <w:ind w:firstLine="960"/>
      </w:pPr>
      <w:r>
        <w:rPr>
          <w:rFonts w:ascii="仿宋_GB2312" w:hAnsi="仿宋_GB2312" w:cs="仿宋_GB2312" w:eastAsia="仿宋_GB2312"/>
        </w:rPr>
        <w:t>详见附件：履行合同所必需的设备和专业技术能力的说明及承诺.docx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