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版本号：ZMZB2025GCDX-31620251014001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飞秒激光三维打印系统采购项目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ZMZB2025GCDX-316</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飞秒激光三维打印系统采购项目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ZMZB2025GCDX-316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飞秒激光三维打印系统采购项目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飞秒激光三维打印系统采购项目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9、本项目不接受联合体投标：非联合体投标声明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说明：（1）供应商中标后凭中标通知书向采购人缴纳合同金额的10%作为履约保证金； （2）履约保证金应使用人民币，可选择使用银行转账、支票、汇票、本票或者金融机构、担保机构出具的保函等非现金形式缴纳或提交； （3）采购人验收合格后，供应商提出书面申请，采购人将履约保证金（无息）退还供应商。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计算。 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飞秒激光三维打印系统采购项目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4,000,000.00</w:t>
      </w:r>
    </w:p>
    <w:p>
      <w:pPr>
        <w:pStyle w:val="null3"/>
      </w:pPr>
      <w:r>
        <w:rPr>
          <w:rFonts w:ascii="仿宋_GB2312" w:hAnsi="仿宋_GB2312" w:cs="仿宋_GB2312" w:eastAsia="仿宋_GB2312"/>
        </w:rPr>
        <w:t>采购包最高限价（元）: 4,000,000.00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飞秒激光三维打印系统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标的名称：飞秒激光三维打印系统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05"/>
              <w:jc w:val="both"/>
            </w:pPr>
            <w:r>
              <w:rPr>
                <w:rFonts w:ascii="仿宋_GB2312" w:hAnsi="仿宋_GB2312" w:cs="仿宋_GB2312" w:eastAsia="仿宋_GB2312"/>
                <w:color w:val="000000"/>
              </w:rPr>
              <w:t>一、</w:t>
            </w:r>
            <w:r>
              <w:rPr>
                <w:rFonts w:ascii="仿宋_GB2312" w:hAnsi="仿宋_GB2312" w:cs="仿宋_GB2312" w:eastAsia="仿宋_GB2312"/>
                <w:color w:val="000000"/>
              </w:rPr>
              <w:t>技术指标</w:t>
            </w:r>
          </w:p>
          <w:p>
            <w:pPr>
              <w:pStyle w:val="null3"/>
              <w:ind w:left="-9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基本指标</w:t>
            </w:r>
          </w:p>
          <w:p>
            <w:pPr>
              <w:pStyle w:val="null3"/>
              <w:ind w:left="-90"/>
              <w:jc w:val="left"/>
            </w:pPr>
            <w:r>
              <w:rPr>
                <w:rFonts w:ascii="仿宋_GB2312" w:hAnsi="仿宋_GB2312" w:cs="仿宋_GB2312" w:eastAsia="仿宋_GB2312"/>
                <w:sz w:val="21"/>
                <w:color w:val="000000"/>
              </w:rPr>
              <w:t>▲1.1飞秒激光三维打印系统分为光学平台部分和工作平台两部分，同时具备压电台位移加工和振镜扫描加工两种打印模式；</w:t>
            </w:r>
          </w:p>
          <w:p>
            <w:pPr>
              <w:pStyle w:val="null3"/>
              <w:ind w:left="-90"/>
              <w:jc w:val="left"/>
            </w:pPr>
            <w:r>
              <w:rPr>
                <w:rFonts w:ascii="仿宋_GB2312" w:hAnsi="仿宋_GB2312" w:cs="仿宋_GB2312" w:eastAsia="仿宋_GB2312"/>
                <w:sz w:val="21"/>
                <w:color w:val="000000"/>
              </w:rPr>
              <w:t>▲1.2 二维平面可加工范围≥100</w:t>
            </w:r>
            <w:r>
              <w:rPr>
                <w:rFonts w:ascii="仿宋_GB2312" w:hAnsi="仿宋_GB2312" w:cs="仿宋_GB2312" w:eastAsia="仿宋_GB2312"/>
                <w:sz w:val="21"/>
                <w:color w:val="000000"/>
              </w:rPr>
              <w:t>×</w:t>
            </w:r>
            <w:r>
              <w:rPr>
                <w:rFonts w:ascii="仿宋_GB2312" w:hAnsi="仿宋_GB2312" w:cs="仿宋_GB2312" w:eastAsia="仿宋_GB2312"/>
                <w:sz w:val="21"/>
                <w:color w:val="000000"/>
              </w:rPr>
              <w:t>100（mm</w:t>
            </w:r>
            <w:r>
              <w:rPr>
                <w:rFonts w:ascii="仿宋_GB2312" w:hAnsi="仿宋_GB2312" w:cs="仿宋_GB2312" w:eastAsia="仿宋_GB2312"/>
                <w:sz w:val="21"/>
                <w:color w:val="000000"/>
              </w:rPr>
              <w:t>²</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ind w:left="-90"/>
              <w:jc w:val="left"/>
            </w:pPr>
            <w:r>
              <w:rPr>
                <w:rFonts w:ascii="仿宋_GB2312" w:hAnsi="仿宋_GB2312" w:cs="仿宋_GB2312" w:eastAsia="仿宋_GB2312"/>
                <w:sz w:val="21"/>
                <w:color w:val="000000"/>
              </w:rPr>
              <w:t>▲1.3 扫描振镜模式写入速度≥100mm/s；</w:t>
            </w:r>
          </w:p>
          <w:p>
            <w:pPr>
              <w:pStyle w:val="null3"/>
              <w:ind w:left="-90"/>
              <w:jc w:val="left"/>
            </w:pPr>
            <w:r>
              <w:rPr>
                <w:rFonts w:ascii="仿宋_GB2312" w:hAnsi="仿宋_GB2312" w:cs="仿宋_GB2312" w:eastAsia="仿宋_GB2312"/>
                <w:sz w:val="21"/>
                <w:color w:val="000000"/>
              </w:rPr>
              <w:t>1.4 三维移动工件台扫描空间300μm×300μm×300μm，重复精度误差 ≤10nm；</w:t>
            </w:r>
          </w:p>
          <w:p>
            <w:pPr>
              <w:pStyle w:val="null3"/>
              <w:ind w:left="-90"/>
              <w:jc w:val="left"/>
            </w:pPr>
            <w:r>
              <w:rPr>
                <w:rFonts w:ascii="仿宋_GB2312" w:hAnsi="仿宋_GB2312" w:cs="仿宋_GB2312" w:eastAsia="仿宋_GB2312"/>
                <w:sz w:val="21"/>
                <w:color w:val="000000"/>
              </w:rPr>
              <w:t>1.5 设备具备样品位置自动切换；</w:t>
            </w:r>
          </w:p>
          <w:p>
            <w:pPr>
              <w:pStyle w:val="null3"/>
              <w:ind w:left="-90"/>
              <w:jc w:val="left"/>
            </w:pPr>
            <w:r>
              <w:rPr>
                <w:rFonts w:ascii="仿宋_GB2312" w:hAnsi="仿宋_GB2312" w:cs="仿宋_GB2312" w:eastAsia="仿宋_GB2312"/>
                <w:sz w:val="21"/>
                <w:color w:val="000000"/>
              </w:rPr>
              <w:t>1.6 具有可自动切换不同的显微镜镜头功能；</w:t>
            </w:r>
          </w:p>
          <w:p>
            <w:pPr>
              <w:pStyle w:val="null3"/>
              <w:ind w:left="-90"/>
              <w:jc w:val="left"/>
            </w:pPr>
            <w:r>
              <w:rPr>
                <w:rFonts w:ascii="仿宋_GB2312" w:hAnsi="仿宋_GB2312" w:cs="仿宋_GB2312" w:eastAsia="仿宋_GB2312"/>
                <w:sz w:val="21"/>
                <w:color w:val="000000"/>
              </w:rPr>
              <w:t>1.7 具备自动调节运动速度</w:t>
            </w:r>
          </w:p>
          <w:p>
            <w:pPr>
              <w:pStyle w:val="null3"/>
              <w:ind w:left="-90"/>
              <w:jc w:val="left"/>
            </w:pPr>
            <w:r>
              <w:rPr>
                <w:rFonts w:ascii="仿宋_GB2312" w:hAnsi="仿宋_GB2312" w:cs="仿宋_GB2312" w:eastAsia="仿宋_GB2312"/>
                <w:sz w:val="21"/>
                <w:color w:val="000000"/>
              </w:rPr>
              <w:t>1.8 具备实时激光能量调制；</w:t>
            </w:r>
          </w:p>
          <w:p>
            <w:pPr>
              <w:pStyle w:val="null3"/>
              <w:ind w:left="-90"/>
              <w:jc w:val="left"/>
            </w:pPr>
            <w:r>
              <w:rPr>
                <w:rFonts w:ascii="仿宋_GB2312" w:hAnsi="仿宋_GB2312" w:cs="仿宋_GB2312" w:eastAsia="仿宋_GB2312"/>
                <w:sz w:val="21"/>
                <w:color w:val="000000"/>
              </w:rPr>
              <w:t>1.9 远程遥控：计算器具有远程遥控功能；</w:t>
            </w:r>
          </w:p>
          <w:p>
            <w:pPr>
              <w:pStyle w:val="null3"/>
              <w:ind w:left="-90"/>
              <w:jc w:val="left"/>
            </w:pPr>
            <w:r>
              <w:rPr>
                <w:rFonts w:ascii="仿宋_GB2312" w:hAnsi="仿宋_GB2312" w:cs="仿宋_GB2312" w:eastAsia="仿宋_GB2312"/>
                <w:sz w:val="21"/>
                <w:color w:val="000000"/>
              </w:rPr>
              <w:t>1.10 具备导入三维的模型功能：兼容STL图形文件格式；</w:t>
            </w:r>
          </w:p>
          <w:p>
            <w:pPr>
              <w:pStyle w:val="null3"/>
              <w:ind w:left="-90"/>
              <w:jc w:val="left"/>
            </w:pPr>
            <w:r>
              <w:rPr>
                <w:rFonts w:ascii="仿宋_GB2312" w:hAnsi="仿宋_GB2312" w:cs="仿宋_GB2312" w:eastAsia="仿宋_GB2312"/>
                <w:sz w:val="21"/>
                <w:color w:val="000000"/>
              </w:rPr>
              <w:t>1.11 具备二次校准功能。</w:t>
            </w:r>
          </w:p>
          <w:p>
            <w:pPr>
              <w:pStyle w:val="null3"/>
              <w:ind w:left="-90"/>
              <w:jc w:val="left"/>
            </w:pPr>
            <w:r>
              <w:rPr>
                <w:rFonts w:ascii="仿宋_GB2312" w:hAnsi="仿宋_GB2312" w:cs="仿宋_GB2312" w:eastAsia="仿宋_GB2312"/>
                <w:sz w:val="21"/>
                <w:color w:val="000000"/>
              </w:rPr>
              <w:t>▲1.12 可加工层厚0.3μm - 6μm</w:t>
            </w:r>
          </w:p>
          <w:p>
            <w:pPr>
              <w:pStyle w:val="null3"/>
              <w:ind w:left="-90"/>
              <w:jc w:val="left"/>
            </w:pPr>
            <w:r>
              <w:rPr>
                <w:rFonts w:ascii="仿宋_GB2312" w:hAnsi="仿宋_GB2312" w:cs="仿宋_GB2312" w:eastAsia="仿宋_GB2312"/>
                <w:sz w:val="21"/>
                <w:color w:val="000000"/>
              </w:rPr>
              <w:t>▲1.13 加工微透镜，最佳表面粗糙度Ra ≤ 20 nm；</w:t>
            </w:r>
          </w:p>
          <w:p>
            <w:pPr>
              <w:pStyle w:val="null3"/>
              <w:ind w:left="-90"/>
              <w:jc w:val="left"/>
            </w:pPr>
            <w:r>
              <w:rPr>
                <w:rFonts w:ascii="仿宋_GB2312" w:hAnsi="仿宋_GB2312" w:cs="仿宋_GB2312" w:eastAsia="仿宋_GB2312"/>
                <w:sz w:val="21"/>
                <w:color w:val="000000"/>
              </w:rPr>
              <w:t>2.材料相关</w:t>
            </w:r>
          </w:p>
          <w:p>
            <w:pPr>
              <w:pStyle w:val="null3"/>
              <w:ind w:left="-90"/>
              <w:jc w:val="left"/>
            </w:pPr>
            <w:r>
              <w:rPr>
                <w:rFonts w:ascii="仿宋_GB2312" w:hAnsi="仿宋_GB2312" w:cs="仿宋_GB2312" w:eastAsia="仿宋_GB2312"/>
                <w:sz w:val="21"/>
                <w:color w:val="000000"/>
              </w:rPr>
              <w:t>★2.1光敏材料的选择包含：SU-8，Ormocere，PEG-DA，AZ 9260，IP-L 780，IP-G 780，IP-PDMS等；</w:t>
            </w:r>
          </w:p>
          <w:p>
            <w:pPr>
              <w:pStyle w:val="null3"/>
              <w:ind w:left="-90"/>
              <w:jc w:val="left"/>
            </w:pPr>
            <w:r>
              <w:rPr>
                <w:rFonts w:ascii="仿宋_GB2312" w:hAnsi="仿宋_GB2312" w:cs="仿宋_GB2312" w:eastAsia="仿宋_GB2312"/>
                <w:sz w:val="21"/>
                <w:color w:val="000000"/>
              </w:rPr>
              <w:t>2.2 提供丙烯酸酯类光刻胶50mL，提供PDMS类、熔融石英类、水凝胶类光刻胶材料各10 mL；</w:t>
            </w:r>
          </w:p>
          <w:p>
            <w:pPr>
              <w:pStyle w:val="null3"/>
              <w:ind w:left="-90"/>
              <w:jc w:val="left"/>
            </w:pPr>
            <w:r>
              <w:rPr>
                <w:rFonts w:ascii="仿宋_GB2312" w:hAnsi="仿宋_GB2312" w:cs="仿宋_GB2312" w:eastAsia="仿宋_GB2312"/>
                <w:sz w:val="21"/>
                <w:color w:val="000000"/>
              </w:rPr>
              <w:t>▲2.3 能够加工制备熔融石英玻璃微结构。</w:t>
            </w:r>
          </w:p>
          <w:p>
            <w:pPr>
              <w:pStyle w:val="null3"/>
              <w:ind w:left="-90"/>
              <w:jc w:val="left"/>
            </w:pPr>
            <w:r>
              <w:rPr>
                <w:rFonts w:ascii="仿宋_GB2312" w:hAnsi="仿宋_GB2312" w:cs="仿宋_GB2312" w:eastAsia="仿宋_GB2312"/>
                <w:sz w:val="21"/>
                <w:color w:val="000000"/>
              </w:rPr>
              <w:t>▲2.4 具备加工水凝胶的能力。</w:t>
            </w:r>
          </w:p>
          <w:p>
            <w:pPr>
              <w:pStyle w:val="null3"/>
              <w:ind w:left="-90"/>
              <w:jc w:val="left"/>
            </w:pPr>
            <w:r>
              <w:rPr>
                <w:rFonts w:ascii="仿宋_GB2312" w:hAnsi="仿宋_GB2312" w:cs="仿宋_GB2312" w:eastAsia="仿宋_GB2312"/>
                <w:sz w:val="21"/>
                <w:color w:val="000000"/>
              </w:rPr>
              <w:t>2.5具备加工正性光刻胶的能力。</w:t>
            </w:r>
          </w:p>
          <w:p>
            <w:pPr>
              <w:pStyle w:val="null3"/>
              <w:ind w:left="-90"/>
              <w:jc w:val="left"/>
            </w:pPr>
            <w:r>
              <w:rPr>
                <w:rFonts w:ascii="仿宋_GB2312" w:hAnsi="仿宋_GB2312" w:cs="仿宋_GB2312" w:eastAsia="仿宋_GB2312"/>
                <w:sz w:val="21"/>
                <w:color w:val="000000"/>
              </w:rPr>
              <w:t>★3.采用脉冲光纤激光系统，激光输出中心波长 780 nm ± 10nm；脉宽≤ 150fs；重复频率：≥80MHz ± 1MHz；平均输出功率≥120mW</w:t>
            </w:r>
          </w:p>
          <w:p>
            <w:pPr>
              <w:pStyle w:val="null3"/>
              <w:ind w:left="-90"/>
              <w:jc w:val="left"/>
            </w:pPr>
            <w:r>
              <w:rPr>
                <w:rFonts w:ascii="仿宋_GB2312" w:hAnsi="仿宋_GB2312" w:cs="仿宋_GB2312" w:eastAsia="仿宋_GB2312"/>
                <w:sz w:val="21"/>
                <w:color w:val="000000"/>
              </w:rPr>
              <w:t>4工作方式</w:t>
            </w:r>
          </w:p>
          <w:p>
            <w:pPr>
              <w:pStyle w:val="null3"/>
              <w:ind w:left="-90"/>
              <w:jc w:val="left"/>
            </w:pPr>
            <w:r>
              <w:rPr>
                <w:rFonts w:ascii="仿宋_GB2312" w:hAnsi="仿宋_GB2312" w:cs="仿宋_GB2312" w:eastAsia="仿宋_GB2312"/>
                <w:sz w:val="21"/>
                <w:color w:val="000000"/>
              </w:rPr>
              <w:t>★4.1采用逐层双光子光固化原理，具备浸入式加工光刻技术，加工高度≥8mm；</w:t>
            </w:r>
          </w:p>
          <w:p>
            <w:pPr>
              <w:pStyle w:val="null3"/>
              <w:ind w:left="-90"/>
              <w:jc w:val="left"/>
            </w:pPr>
            <w:r>
              <w:rPr>
                <w:rFonts w:ascii="仿宋_GB2312" w:hAnsi="仿宋_GB2312" w:cs="仿宋_GB2312" w:eastAsia="仿宋_GB2312"/>
                <w:sz w:val="21"/>
                <w:color w:val="000000"/>
              </w:rPr>
              <w:t>4.2 横向线宽≤160nm；横向分辨率≤400nm；</w:t>
            </w:r>
          </w:p>
          <w:p>
            <w:pPr>
              <w:pStyle w:val="null3"/>
              <w:ind w:left="-90"/>
              <w:jc w:val="left"/>
            </w:pPr>
            <w:r>
              <w:rPr>
                <w:rFonts w:ascii="仿宋_GB2312" w:hAnsi="仿宋_GB2312" w:cs="仿宋_GB2312" w:eastAsia="仿宋_GB2312"/>
                <w:sz w:val="21"/>
                <w:color w:val="000000"/>
              </w:rPr>
              <w:t>4.3 结构垂直方向分辨率≤1000nm；</w:t>
            </w:r>
          </w:p>
          <w:p>
            <w:pPr>
              <w:pStyle w:val="null3"/>
              <w:ind w:left="-90"/>
              <w:jc w:val="left"/>
            </w:pPr>
            <w:r>
              <w:rPr>
                <w:rFonts w:ascii="仿宋_GB2312" w:hAnsi="仿宋_GB2312" w:cs="仿宋_GB2312" w:eastAsia="仿宋_GB2312"/>
                <w:sz w:val="21"/>
                <w:color w:val="000000"/>
              </w:rPr>
              <w:t xml:space="preserve">★4.4 </w:t>
            </w:r>
            <w:r>
              <w:rPr>
                <w:rFonts w:ascii="仿宋_GB2312" w:hAnsi="仿宋_GB2312" w:cs="仿宋_GB2312" w:eastAsia="仿宋_GB2312"/>
                <w:sz w:val="21"/>
                <w:color w:val="000000"/>
              </w:rPr>
              <w:t>具备微纳机器人加工能力</w:t>
            </w:r>
            <w:r>
              <w:rPr>
                <w:rFonts w:ascii="仿宋_GB2312" w:hAnsi="仿宋_GB2312" w:cs="仿宋_GB2312" w:eastAsia="仿宋_GB2312"/>
                <w:sz w:val="21"/>
                <w:color w:val="000000"/>
              </w:rPr>
              <w:t>，能够加工的微螺旋结构的螺旋直径</w:t>
            </w: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µ</w:t>
            </w:r>
            <w:r>
              <w:rPr>
                <w:rFonts w:ascii="仿宋_GB2312" w:hAnsi="仿宋_GB2312" w:cs="仿宋_GB2312" w:eastAsia="仿宋_GB2312"/>
                <w:sz w:val="21"/>
                <w:color w:val="000000"/>
              </w:rPr>
              <w:t xml:space="preserve">m，螺旋单周期长度≤4 </w:t>
            </w:r>
            <w:r>
              <w:rPr>
                <w:rFonts w:ascii="仿宋_GB2312" w:hAnsi="仿宋_GB2312" w:cs="仿宋_GB2312" w:eastAsia="仿宋_GB2312"/>
                <w:sz w:val="21"/>
                <w:color w:val="000000"/>
              </w:rPr>
              <w:t>µ</w:t>
            </w:r>
            <w:r>
              <w:rPr>
                <w:rFonts w:ascii="仿宋_GB2312" w:hAnsi="仿宋_GB2312" w:cs="仿宋_GB2312" w:eastAsia="仿宋_GB2312"/>
                <w:sz w:val="21"/>
                <w:color w:val="000000"/>
              </w:rPr>
              <w:t xml:space="preserve">m，螺旋单周期长度≤4 </w:t>
            </w:r>
            <w:r>
              <w:rPr>
                <w:rFonts w:ascii="仿宋_GB2312" w:hAnsi="仿宋_GB2312" w:cs="仿宋_GB2312" w:eastAsia="仿宋_GB2312"/>
                <w:sz w:val="21"/>
                <w:color w:val="000000"/>
              </w:rPr>
              <w:t>µ</w:t>
            </w:r>
            <w:r>
              <w:rPr>
                <w:rFonts w:ascii="仿宋_GB2312" w:hAnsi="仿宋_GB2312" w:cs="仿宋_GB2312" w:eastAsia="仿宋_GB2312"/>
                <w:sz w:val="21"/>
                <w:color w:val="000000"/>
              </w:rPr>
              <w:t>m。</w:t>
            </w:r>
          </w:p>
          <w:p>
            <w:pPr>
              <w:pStyle w:val="null3"/>
              <w:ind w:left="-90"/>
              <w:jc w:val="left"/>
            </w:pPr>
            <w:r>
              <w:rPr>
                <w:rFonts w:ascii="仿宋_GB2312" w:hAnsi="仿宋_GB2312" w:cs="仿宋_GB2312" w:eastAsia="仿宋_GB2312"/>
                <w:sz w:val="21"/>
                <w:color w:val="000000"/>
              </w:rPr>
              <w:t>4.5 能够加工超高精度光学超构表面，实现将光的轨道角动量（OAM）维度用作全息信息载体的功能。（提供证明材料，包括但不限于产品彩页、检测报告、功能截图、盖章的说明书、文献等）</w:t>
            </w:r>
          </w:p>
          <w:p>
            <w:pPr>
              <w:pStyle w:val="null3"/>
              <w:ind w:left="-90"/>
              <w:jc w:val="left"/>
            </w:pPr>
            <w:r>
              <w:rPr>
                <w:rFonts w:ascii="仿宋_GB2312" w:hAnsi="仿宋_GB2312" w:cs="仿宋_GB2312" w:eastAsia="仿宋_GB2312"/>
                <w:sz w:val="21"/>
                <w:color w:val="000000"/>
              </w:rPr>
              <w:t>4.6 具备在MEMS芯片上加工可控形变微纳器件的能力，并有相关实验佐证其可控形变的功能。（提供证明材料，包括但不限于产品彩页、检测报告、功能截图、盖章的说明书、文献等）</w:t>
            </w:r>
          </w:p>
          <w:p>
            <w:pPr>
              <w:pStyle w:val="null3"/>
              <w:ind w:left="-90"/>
              <w:jc w:val="left"/>
            </w:pPr>
            <w:r>
              <w:rPr>
                <w:rFonts w:ascii="仿宋_GB2312" w:hAnsi="仿宋_GB2312" w:cs="仿宋_GB2312" w:eastAsia="仿宋_GB2312"/>
                <w:sz w:val="21"/>
                <w:color w:val="000000"/>
              </w:rPr>
              <w:t>4.7 具备在光纤端面上加工微透镜和微腔的能力。（提供证明材料，包括但不限于产品彩页、检测报告、功能截图、盖章的说明书、文献等）</w:t>
            </w:r>
          </w:p>
          <w:p>
            <w:pPr>
              <w:pStyle w:val="null3"/>
              <w:ind w:left="-90"/>
              <w:jc w:val="left"/>
            </w:pPr>
            <w:r>
              <w:rPr>
                <w:rFonts w:ascii="仿宋_GB2312" w:hAnsi="仿宋_GB2312" w:cs="仿宋_GB2312" w:eastAsia="仿宋_GB2312"/>
                <w:sz w:val="21"/>
                <w:color w:val="000000"/>
              </w:rPr>
              <w:t>4.8 能够加工太阳能光伏发电需要高效的陷光器件。（提供证明材料，包括但不限于产品彩页、检测报告、功能截图、盖章的说明书、文献等）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0000"/>
              </w:rPr>
              <w:t>配置要求</w:t>
            </w:r>
          </w:p>
          <w:p>
            <w:pPr>
              <w:pStyle w:val="null3"/>
              <w:jc w:val="both"/>
            </w:pPr>
            <w:r>
              <w:rPr>
                <w:rFonts w:ascii="仿宋_GB2312" w:hAnsi="仿宋_GB2312" w:cs="仿宋_GB2312" w:eastAsia="仿宋_GB2312"/>
                <w:sz w:val="21"/>
                <w:color w:val="000000"/>
              </w:rPr>
              <w:t>1.飞秒激光三维打印系统主机1套；</w:t>
            </w:r>
          </w:p>
          <w:p>
            <w:pPr>
              <w:pStyle w:val="null3"/>
              <w:jc w:val="both"/>
            </w:pPr>
            <w:r>
              <w:rPr>
                <w:rFonts w:ascii="仿宋_GB2312" w:hAnsi="仿宋_GB2312" w:cs="仿宋_GB2312" w:eastAsia="仿宋_GB2312"/>
                <w:sz w:val="21"/>
                <w:color w:val="000000"/>
              </w:rPr>
              <w:t>2.面向超高精度加工模组1套；</w:t>
            </w:r>
          </w:p>
          <w:p>
            <w:pPr>
              <w:pStyle w:val="null3"/>
              <w:jc w:val="both"/>
            </w:pPr>
            <w:r>
              <w:rPr>
                <w:rFonts w:ascii="仿宋_GB2312" w:hAnsi="仿宋_GB2312" w:cs="仿宋_GB2312" w:eastAsia="仿宋_GB2312"/>
                <w:sz w:val="21"/>
                <w:color w:val="000000"/>
              </w:rPr>
              <w:t>3.面向中等精度加工模组一套；</w:t>
            </w:r>
          </w:p>
          <w:p>
            <w:pPr>
              <w:pStyle w:val="null3"/>
              <w:jc w:val="both"/>
            </w:pPr>
            <w:r>
              <w:rPr>
                <w:rFonts w:ascii="仿宋_GB2312" w:hAnsi="仿宋_GB2312" w:cs="仿宋_GB2312" w:eastAsia="仿宋_GB2312"/>
                <w:sz w:val="21"/>
                <w:color w:val="000000"/>
              </w:rPr>
              <w:t>4.面向介观尺度加工模组一套；</w:t>
            </w:r>
          </w:p>
          <w:p>
            <w:pPr>
              <w:pStyle w:val="null3"/>
              <w:jc w:val="both"/>
            </w:pPr>
            <w:r>
              <w:rPr>
                <w:rFonts w:ascii="仿宋_GB2312" w:hAnsi="仿宋_GB2312" w:cs="仿宋_GB2312" w:eastAsia="仿宋_GB2312"/>
                <w:sz w:val="21"/>
                <w:color w:val="000000"/>
              </w:rPr>
              <w:t>5.面向二维结构加工模组一套。</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color w:val="000000"/>
              </w:rPr>
              <w:t>标</w:t>
            </w:r>
            <w:r>
              <w:rPr>
                <w:rFonts w:ascii="仿宋_GB2312" w:hAnsi="仿宋_GB2312" w:cs="仿宋_GB2312" w:eastAsia="仿宋_GB2312"/>
                <w:sz w:val="21"/>
                <w:color w:val="000000"/>
              </w:rPr>
              <w:t>记</w:t>
            </w:r>
            <w:r>
              <w:rPr>
                <w:rFonts w:ascii="仿宋_GB2312" w:hAnsi="仿宋_GB2312" w:cs="仿宋_GB2312" w:eastAsia="仿宋_GB2312"/>
                <w:sz w:val="21"/>
                <w:color w:val="000000"/>
              </w:rPr>
              <w:t>“★”</w:t>
            </w:r>
            <w:r>
              <w:rPr>
                <w:rFonts w:ascii="仿宋_GB2312" w:hAnsi="仿宋_GB2312" w:cs="仿宋_GB2312" w:eastAsia="仿宋_GB2312"/>
                <w:sz w:val="21"/>
                <w:color w:val="000000"/>
              </w:rPr>
              <w:t>和</w:t>
            </w:r>
            <w:r>
              <w:rPr>
                <w:rFonts w:ascii="仿宋_GB2312" w:hAnsi="仿宋_GB2312" w:cs="仿宋_GB2312" w:eastAsia="仿宋_GB2312"/>
                <w:sz w:val="21"/>
                <w:color w:val="000000"/>
              </w:rPr>
              <w:t>“▲”</w:t>
            </w:r>
            <w:r>
              <w:rPr>
                <w:rFonts w:ascii="仿宋_GB2312" w:hAnsi="仿宋_GB2312" w:cs="仿宋_GB2312" w:eastAsia="仿宋_GB2312"/>
                <w:sz w:val="21"/>
                <w:color w:val="000000"/>
              </w:rPr>
              <w:t>参数必须提供佐证材料（包括但不限于产品彩页、检测报告、功能截图、盖章的说明书、文献等），未提供佐证材料或提供的佐证材料低于招标要求时按负偏离处理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交货期：进口设备：合同签订之日起 400日历天内完成交付、安装及调试。国产设备：合同签订之日起 300日历天内完成交付、安装及调试。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金花校区纺织楼2号楼119室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设备：合同签订前，中标人须在采购人指定的银行开立一般结算账户。合同签订后，采购人通过银行电汇付给中标人合同总价100%的预付款。设备到货、安装、调试、运行并经验收合格后、最终结算时，中标人须向采购人出具合同总价款的增值税专用发票。 进口设备：合同生效后，由甲方通过指定的进口业务代理公司向乙方开出全额信用证（100%信用证），信用证100%凭学校出具的正式验收报告解付。 最终结算时，乙方应通过甲方指定的进口业务代理公司向甲方开具符合甲方要求的合同总价款发票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 2 年。售后服务响应时间（质保期内）：售后服务响应不得超出 3 小时，24小时制定解决方案， 2 个工作日内派人到现场维修。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1、培训内容及要求： 培训应包含设备技术原理及应用的理论部分，与上机操作培训加工的操作部分，以及相关应用领域的专项进阶培训部分。 2、安装要求：供应商负责提供从设备安装位置至最近配电箱的所有线缆、管路、插座及附属材料。所有电气材料及安装施工均须符合中华人民共和国现行有效的《GB 50303 建筑电气工程施工质量验收规范》及相关国家、行业标准，确保供电安全、可靠，满足设备满载运行需求。 本项目为交钥匙项目，供应商应为设备提供合规、安全、可靠的最终供电解决方案（包括但不限于敷设线缆、安装管路、插座及断路器等），投标报价应包含满足设备最终正常运行所需的一切费用。 3、其他：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 30号合力紫郡B座21层，若电子投标文件与纸质投标文件不一致的，以电子投标文件为准。4.本项目为非专门面向中小企业采购。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rFonts w:ascii="仿宋_GB2312" w:hAnsi="仿宋_GB2312" w:cs="仿宋_GB2312" w:eastAsia="仿宋_GB2312"/>
              </w:rPr>
              <w:t>供应商认为有必要说明的其他问题.docx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 者最高限价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投标文件的交货期、质保期</w:t>
            </w:r>
          </w:p>
        </w:tc>
        <w:tc>
          <w:tcPr>
            <w:tcW w:type="dxa" w:w="3322"/>
          </w:tcPr>
          <w:p>
            <w:pPr>
              <w:pStyle w:val="null3"/>
            </w:pPr>
            <w:r>
              <w:rPr>
                <w:rFonts w:ascii="仿宋_GB2312" w:hAnsi="仿宋_GB2312" w:cs="仿宋_GB2312" w:eastAsia="仿宋_GB2312"/>
              </w:rPr>
              <w:t>投标文件的交货期、质保期不满足招标文件要求 不合格 投标文件的交货期、质保期满足招标文件要求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分项报价表.docx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 xml:space="preserve"> 不存在法律、法规和招标 文件规定的 其他无效 情形 合 格，存在法律、法规和招标文件规 定的其他无效情形 不合格</w:t>
            </w:r>
          </w:p>
        </w:tc>
        <w:tc>
          <w:tcPr>
            <w:tcW w:type="dxa" w:w="1661"/>
          </w:tcPr>
          <w:p>
            <w:pPr>
              <w:pStyle w:val="null3"/>
            </w:pPr>
            <w:r>
              <w:rPr>
                <w:rFonts w:ascii="仿宋_GB2312" w:hAnsi="仿宋_GB2312" w:cs="仿宋_GB2312" w:eastAsia="仿宋_GB2312"/>
              </w:rPr>
              <w:t>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基本分（36分）：完全符合、响应招标文件要求，没有负偏离计36分，“▲”参数每负偏离一项扣2分，未带标识参数每负偏离一项扣1分，扣完为止。 备注：标记★和▲参数必须提供佐证材料（包括但不限于产品彩页、检测报告、功能截图、盖章的说明书等），未提供佐证材料或提供的佐证材料低于招标要求时按负偏离处理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安装调试方案；⑤项目验收方案。提供的上述5项内容完整可行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提供的上述4项内容完整可行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故障处理响应时间。提供的上述4项内容完整可行的得6分；每有一项未提供扣1.5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提供的上述4项内容完整可行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提供供应商2022年9月1日至今同类项目合同（以合同签订日期为准），每提供1个得1分，最高得5分。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