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53779F">
      <w:pPr>
        <w:spacing w:before="62" w:line="220" w:lineRule="auto"/>
        <w:ind w:left="2893"/>
        <w:outlineLvl w:val="1"/>
        <w:rPr>
          <w:rFonts w:ascii="宋体" w:hAnsi="宋体" w:cs="宋体"/>
          <w:b/>
          <w:bCs/>
          <w:sz w:val="31"/>
          <w:szCs w:val="31"/>
        </w:rPr>
      </w:pPr>
      <w:r>
        <w:rPr>
          <w:rFonts w:ascii="宋体" w:hAnsi="宋体" w:cs="宋体"/>
          <w:b/>
          <w:bCs/>
          <w:spacing w:val="7"/>
          <w:sz w:val="31"/>
          <w:szCs w:val="31"/>
        </w:rPr>
        <w:t>拟签订采购合同文本</w:t>
      </w:r>
    </w:p>
    <w:p w14:paraId="66EE0800">
      <w:pPr>
        <w:spacing w:line="480" w:lineRule="auto"/>
        <w:ind w:firstLine="480" w:firstLineChars="200"/>
        <w:jc w:val="center"/>
        <w:rPr>
          <w:rFonts w:hint="eastAsia" w:ascii="宋体" w:hAnsi="宋体" w:cs="宋体"/>
        </w:rPr>
      </w:pPr>
      <w:r>
        <w:rPr>
          <w:rFonts w:hint="eastAsia" w:ascii="宋体" w:hAnsi="宋体" w:cs="宋体"/>
          <w:sz w:val="24"/>
          <w:szCs w:val="24"/>
        </w:rPr>
        <w:t>（本合同为合同样稿，最终稿由双方协商后确定）</w:t>
      </w:r>
    </w:p>
    <w:p w14:paraId="672CCBE1">
      <w:pPr>
        <w:autoSpaceDE w:val="0"/>
        <w:autoSpaceDN w:val="0"/>
        <w:adjustRightInd w:val="0"/>
        <w:snapToGrid w:val="0"/>
        <w:spacing w:line="360" w:lineRule="auto"/>
        <w:ind w:firstLine="470" w:firstLineChars="196"/>
        <w:rPr>
          <w:rFonts w:hint="eastAsia" w:ascii="宋体" w:hAnsi="宋体" w:cs="宋体"/>
          <w:sz w:val="24"/>
          <w:szCs w:val="24"/>
          <w:lang w:val="zh-CN"/>
        </w:rPr>
      </w:pPr>
      <w:bookmarkStart w:id="0" w:name="_Hlt503233640"/>
      <w:bookmarkEnd w:id="0"/>
      <w:r>
        <w:rPr>
          <w:rFonts w:hint="eastAsia" w:ascii="宋体" w:hAnsi="宋体" w:cs="宋体"/>
          <w:sz w:val="24"/>
          <w:szCs w:val="24"/>
          <w:u w:val="single"/>
          <w:lang w:val="zh-CN"/>
        </w:rPr>
        <w:t xml:space="preserve">   （</w:t>
      </w:r>
      <w:r>
        <w:rPr>
          <w:rFonts w:hint="eastAsia" w:ascii="宋体" w:hAnsi="宋体" w:cs="宋体"/>
          <w:sz w:val="24"/>
          <w:szCs w:val="24"/>
          <w:u w:val="single"/>
        </w:rPr>
        <w:t>项目名称</w:t>
      </w:r>
      <w:r>
        <w:rPr>
          <w:rFonts w:hint="eastAsia" w:ascii="宋体" w:hAnsi="宋体" w:cs="宋体"/>
          <w:sz w:val="24"/>
          <w:szCs w:val="24"/>
          <w:u w:val="single"/>
          <w:lang w:val="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zh-CN"/>
        </w:rPr>
        <w:t xml:space="preserve"> </w:t>
      </w:r>
      <w:r>
        <w:rPr>
          <w:rFonts w:hint="eastAsia" w:ascii="宋体" w:hAnsi="宋体" w:cs="宋体"/>
          <w:sz w:val="24"/>
          <w:szCs w:val="24"/>
          <w:lang w:val="zh-CN"/>
        </w:rPr>
        <w:t>，在          的监督管理下，由陕西天沃工程项目管理有限公司组织采购，</w:t>
      </w:r>
      <w:r>
        <w:rPr>
          <w:rFonts w:hint="eastAsia" w:ascii="宋体" w:hAnsi="宋体" w:cs="宋体"/>
          <w:sz w:val="24"/>
          <w:szCs w:val="24"/>
          <w:u w:val="single"/>
        </w:rPr>
        <w:t xml:space="preserve">    </w:t>
      </w:r>
      <w:r>
        <w:rPr>
          <w:rFonts w:hint="eastAsia" w:ascii="宋体" w:hAnsi="宋体" w:cs="宋体"/>
          <w:sz w:val="24"/>
          <w:szCs w:val="24"/>
          <w:u w:val="single"/>
          <w:lang w:val="zh-CN"/>
        </w:rPr>
        <w:t>（以下简称甲方）</w:t>
      </w:r>
      <w:r>
        <w:rPr>
          <w:rFonts w:hint="eastAsia" w:ascii="宋体" w:hAnsi="宋体" w:cs="宋体"/>
          <w:sz w:val="24"/>
          <w:szCs w:val="24"/>
          <w:u w:val="single"/>
        </w:rPr>
        <w:t xml:space="preserve">    </w:t>
      </w:r>
      <w:r>
        <w:rPr>
          <w:rFonts w:hint="eastAsia" w:ascii="宋体" w:hAnsi="宋体" w:cs="宋体"/>
          <w:sz w:val="24"/>
          <w:szCs w:val="24"/>
          <w:lang w:val="zh-CN"/>
        </w:rPr>
        <w:t>选定          (以下简称乙方）为该项目成交供应商。依据《中华人民共和国民法典》和《中华人民共和国政府采购法》，经甲、乙双方共同协商，按下述条款和条件签署本合同。</w:t>
      </w:r>
    </w:p>
    <w:p w14:paraId="4E1E5CC5">
      <w:pPr>
        <w:autoSpaceDE w:val="0"/>
        <w:autoSpaceDN w:val="0"/>
        <w:adjustRightInd w:val="0"/>
        <w:snapToGrid w:val="0"/>
        <w:spacing w:line="360" w:lineRule="auto"/>
        <w:ind w:firstLine="470" w:firstLineChars="196"/>
        <w:rPr>
          <w:rFonts w:hint="eastAsia" w:ascii="宋体" w:hAnsi="宋体" w:cs="宋体"/>
          <w:sz w:val="24"/>
          <w:szCs w:val="24"/>
          <w:u w:val="single"/>
          <w:lang w:val="zh-CN"/>
        </w:rPr>
      </w:pPr>
      <w:r>
        <w:rPr>
          <w:rFonts w:hint="eastAsia" w:ascii="宋体" w:hAnsi="宋体" w:cs="宋体"/>
          <w:sz w:val="24"/>
          <w:szCs w:val="24"/>
          <w:lang w:val="zh-CN"/>
        </w:rPr>
        <w:t>甲方：</w:t>
      </w:r>
    </w:p>
    <w:p w14:paraId="74008643">
      <w:pPr>
        <w:autoSpaceDE w:val="0"/>
        <w:autoSpaceDN w:val="0"/>
        <w:adjustRightInd w:val="0"/>
        <w:snapToGrid w:val="0"/>
        <w:spacing w:line="360" w:lineRule="auto"/>
        <w:ind w:firstLine="470" w:firstLineChars="196"/>
        <w:rPr>
          <w:rFonts w:hint="eastAsia" w:ascii="宋体" w:hAnsi="宋体" w:cs="宋体"/>
          <w:sz w:val="24"/>
          <w:szCs w:val="24"/>
          <w:lang w:val="zh-CN"/>
        </w:rPr>
      </w:pPr>
      <w:r>
        <w:rPr>
          <w:rFonts w:hint="eastAsia" w:ascii="宋体" w:hAnsi="宋体" w:cs="宋体"/>
          <w:sz w:val="24"/>
          <w:szCs w:val="24"/>
          <w:lang w:val="zh-CN"/>
        </w:rPr>
        <w:t>乙方：</w:t>
      </w:r>
    </w:p>
    <w:p w14:paraId="61D2FC60">
      <w:pPr>
        <w:numPr>
          <w:ilvl w:val="0"/>
          <w:numId w:val="1"/>
        </w:numPr>
        <w:tabs>
          <w:tab w:val="left" w:pos="735"/>
        </w:tabs>
        <w:autoSpaceDE w:val="0"/>
        <w:autoSpaceDN w:val="0"/>
        <w:adjustRightInd w:val="0"/>
        <w:snapToGrid w:val="0"/>
        <w:spacing w:line="360" w:lineRule="auto"/>
        <w:ind w:firstLine="482" w:firstLineChars="200"/>
        <w:rPr>
          <w:rFonts w:hint="eastAsia" w:ascii="宋体" w:hAnsi="宋体" w:cs="宋体"/>
          <w:bCs/>
          <w:sz w:val="24"/>
          <w:szCs w:val="24"/>
        </w:rPr>
      </w:pPr>
      <w:r>
        <w:rPr>
          <w:rFonts w:hint="eastAsia" w:ascii="宋体" w:hAnsi="宋体" w:cs="宋体"/>
          <w:b/>
          <w:sz w:val="24"/>
          <w:szCs w:val="24"/>
        </w:rPr>
        <w:t>合同内容:</w:t>
      </w:r>
    </w:p>
    <w:p w14:paraId="1CDFA561">
      <w:pPr>
        <w:tabs>
          <w:tab w:val="left" w:pos="735"/>
        </w:tabs>
        <w:autoSpaceDE w:val="0"/>
        <w:autoSpaceDN w:val="0"/>
        <w:adjustRightInd w:val="0"/>
        <w:snapToGrid w:val="0"/>
        <w:spacing w:line="360" w:lineRule="auto"/>
        <w:ind w:firstLine="482" w:firstLineChars="200"/>
        <w:rPr>
          <w:rFonts w:hint="eastAsia" w:ascii="宋体" w:hAnsi="宋体" w:cs="宋体"/>
          <w:b/>
          <w:sz w:val="24"/>
          <w:szCs w:val="24"/>
        </w:rPr>
      </w:pPr>
      <w:r>
        <w:rPr>
          <w:rFonts w:hint="eastAsia" w:ascii="宋体" w:hAnsi="宋体" w:cs="宋体"/>
          <w:b/>
          <w:sz w:val="24"/>
          <w:szCs w:val="24"/>
        </w:rPr>
        <w:t>二、合同价款：</w:t>
      </w:r>
    </w:p>
    <w:p w14:paraId="6FA86E47">
      <w:pPr>
        <w:tabs>
          <w:tab w:val="left" w:pos="735"/>
        </w:tabs>
        <w:autoSpaceDE w:val="0"/>
        <w:autoSpaceDN w:val="0"/>
        <w:adjustRightInd w:val="0"/>
        <w:snapToGrid w:val="0"/>
        <w:spacing w:line="360" w:lineRule="auto"/>
        <w:ind w:firstLine="480" w:firstLineChars="200"/>
        <w:outlineLvl w:val="2"/>
        <w:rPr>
          <w:rFonts w:hint="eastAsia" w:ascii="宋体" w:hAnsi="宋体" w:cs="宋体"/>
          <w:b/>
          <w:sz w:val="24"/>
          <w:szCs w:val="24"/>
          <w:u w:val="single"/>
        </w:rPr>
      </w:pPr>
      <w:r>
        <w:rPr>
          <w:rFonts w:hint="eastAsia" w:ascii="宋体" w:hAnsi="宋体" w:cs="宋体"/>
          <w:sz w:val="24"/>
          <w:szCs w:val="24"/>
        </w:rPr>
        <w:t>1、合同总价：</w:t>
      </w:r>
    </w:p>
    <w:p w14:paraId="1EF0AD6E">
      <w:pPr>
        <w:tabs>
          <w:tab w:val="left" w:pos="735"/>
        </w:tabs>
        <w:adjustRightInd w:val="0"/>
        <w:snapToGrid w:val="0"/>
        <w:spacing w:line="360" w:lineRule="auto"/>
        <w:ind w:firstLine="504" w:firstLineChars="210"/>
        <w:outlineLvl w:val="2"/>
        <w:rPr>
          <w:rFonts w:hint="eastAsia" w:ascii="宋体" w:hAnsi="宋体" w:cs="宋体"/>
          <w:sz w:val="24"/>
          <w:szCs w:val="24"/>
        </w:rPr>
      </w:pPr>
      <w:r>
        <w:rPr>
          <w:rFonts w:hint="eastAsia" w:ascii="宋体" w:hAnsi="宋体" w:cs="宋体"/>
          <w:sz w:val="24"/>
          <w:szCs w:val="24"/>
        </w:rPr>
        <w:t>2、合同总价包括：项目实施费及其他费用等从项目实施至验收合格等所有其他有关各项的含税费用。</w:t>
      </w:r>
    </w:p>
    <w:p w14:paraId="47BAA70A">
      <w:pPr>
        <w:tabs>
          <w:tab w:val="left" w:pos="735"/>
        </w:tabs>
        <w:adjustRightInd w:val="0"/>
        <w:snapToGrid w:val="0"/>
        <w:spacing w:line="360" w:lineRule="auto"/>
        <w:ind w:firstLine="504" w:firstLineChars="210"/>
        <w:outlineLvl w:val="2"/>
        <w:rPr>
          <w:rFonts w:hint="eastAsia" w:ascii="宋体" w:hAnsi="宋体" w:cs="宋体"/>
          <w:sz w:val="24"/>
          <w:szCs w:val="24"/>
        </w:rPr>
      </w:pPr>
      <w:r>
        <w:rPr>
          <w:rFonts w:hint="eastAsia" w:ascii="宋体" w:hAnsi="宋体" w:cs="宋体"/>
          <w:sz w:val="24"/>
          <w:szCs w:val="24"/>
        </w:rPr>
        <w:t>3、合同总价一次包死，不受市场价格、工作量变化等其它因素的影响。</w:t>
      </w:r>
    </w:p>
    <w:p w14:paraId="4BB0B4E3">
      <w:pPr>
        <w:tabs>
          <w:tab w:val="left" w:pos="735"/>
        </w:tabs>
        <w:adjustRightInd w:val="0"/>
        <w:snapToGrid w:val="0"/>
        <w:spacing w:line="360" w:lineRule="auto"/>
        <w:ind w:firstLine="506" w:firstLineChars="210"/>
        <w:rPr>
          <w:rFonts w:hint="eastAsia" w:ascii="宋体" w:hAnsi="宋体" w:cs="宋体"/>
          <w:b/>
          <w:sz w:val="24"/>
          <w:szCs w:val="24"/>
        </w:rPr>
      </w:pPr>
      <w:r>
        <w:rPr>
          <w:rFonts w:hint="eastAsia" w:ascii="宋体" w:hAnsi="宋体" w:cs="宋体"/>
          <w:b/>
          <w:sz w:val="24"/>
          <w:szCs w:val="24"/>
        </w:rPr>
        <w:t>三、款项结算：</w:t>
      </w:r>
    </w:p>
    <w:p w14:paraId="6B6BE1E3">
      <w:pPr>
        <w:autoSpaceDE w:val="0"/>
        <w:autoSpaceDN w:val="0"/>
        <w:adjustRightInd w:val="0"/>
        <w:spacing w:line="360" w:lineRule="auto"/>
        <w:ind w:firstLine="480" w:firstLineChars="200"/>
        <w:outlineLvl w:val="2"/>
        <w:rPr>
          <w:rFonts w:hint="eastAsia" w:ascii="宋体" w:hAnsi="宋体" w:cs="宋体"/>
          <w:bCs/>
          <w:sz w:val="24"/>
          <w:szCs w:val="24"/>
        </w:rPr>
      </w:pPr>
      <w:r>
        <w:rPr>
          <w:rFonts w:hint="eastAsia" w:ascii="宋体" w:hAnsi="宋体" w:cs="宋体"/>
          <w:bCs/>
          <w:sz w:val="24"/>
          <w:szCs w:val="24"/>
        </w:rPr>
        <w:t>1、付款方式：合同签订后，采购人向成交供应商支付合同金额的50%。项目通过验收合格后，采购人向成交供应商支付合同金额的50%。</w:t>
      </w:r>
    </w:p>
    <w:p w14:paraId="574F9E77">
      <w:pPr>
        <w:autoSpaceDE w:val="0"/>
        <w:autoSpaceDN w:val="0"/>
        <w:adjustRightInd w:val="0"/>
        <w:spacing w:line="360" w:lineRule="auto"/>
        <w:ind w:firstLine="480" w:firstLineChars="200"/>
        <w:outlineLvl w:val="2"/>
        <w:rPr>
          <w:rFonts w:hint="eastAsia" w:ascii="宋体" w:hAnsi="宋体" w:cs="宋体"/>
          <w:bCs/>
          <w:sz w:val="24"/>
          <w:szCs w:val="24"/>
        </w:rPr>
      </w:pPr>
      <w:r>
        <w:rPr>
          <w:rFonts w:hint="eastAsia" w:ascii="宋体" w:hAnsi="宋体" w:cs="宋体"/>
          <w:bCs/>
          <w:sz w:val="24"/>
          <w:szCs w:val="24"/>
        </w:rPr>
        <w:t>2、结算方式：采购人与成交供应商直接结算，发票直开采购人。</w:t>
      </w:r>
    </w:p>
    <w:p w14:paraId="5B94E123">
      <w:pPr>
        <w:autoSpaceDE w:val="0"/>
        <w:autoSpaceDN w:val="0"/>
        <w:adjustRightInd w:val="0"/>
        <w:spacing w:line="360" w:lineRule="auto"/>
        <w:ind w:firstLine="480" w:firstLineChars="200"/>
        <w:outlineLvl w:val="2"/>
        <w:rPr>
          <w:rFonts w:hint="eastAsia" w:ascii="宋体" w:hAnsi="宋体" w:cs="宋体"/>
          <w:bCs/>
          <w:sz w:val="24"/>
          <w:szCs w:val="24"/>
        </w:rPr>
      </w:pPr>
      <w:r>
        <w:rPr>
          <w:rFonts w:hint="eastAsia" w:ascii="宋体" w:hAnsi="宋体" w:cs="宋体"/>
          <w:bCs/>
          <w:sz w:val="24"/>
          <w:szCs w:val="24"/>
        </w:rPr>
        <w:t>3、支付方式：银行转账形式结账。</w:t>
      </w:r>
    </w:p>
    <w:p w14:paraId="4143784A">
      <w:pPr>
        <w:autoSpaceDE w:val="0"/>
        <w:autoSpaceDN w:val="0"/>
        <w:adjustRightInd w:val="0"/>
        <w:spacing w:line="360" w:lineRule="auto"/>
        <w:ind w:firstLine="480" w:firstLineChars="200"/>
        <w:outlineLvl w:val="2"/>
        <w:rPr>
          <w:rFonts w:hint="eastAsia" w:ascii="宋体" w:hAnsi="宋体" w:cs="宋体"/>
          <w:bCs/>
          <w:sz w:val="24"/>
          <w:szCs w:val="24"/>
        </w:rPr>
      </w:pPr>
      <w:r>
        <w:rPr>
          <w:rFonts w:hint="eastAsia" w:ascii="宋体" w:hAnsi="宋体" w:cs="宋体"/>
          <w:bCs/>
          <w:sz w:val="24"/>
          <w:szCs w:val="24"/>
        </w:rPr>
        <w:t>4、付款条件：供应商需提供合同总价款的增值税普通发票，作为采购人向供应商支付的凭证。</w:t>
      </w:r>
    </w:p>
    <w:p w14:paraId="65B8BB2D">
      <w:pPr>
        <w:autoSpaceDE w:val="0"/>
        <w:autoSpaceDN w:val="0"/>
        <w:adjustRightInd w:val="0"/>
        <w:spacing w:line="360" w:lineRule="auto"/>
        <w:ind w:firstLine="482" w:firstLineChars="200"/>
        <w:rPr>
          <w:rFonts w:hint="eastAsia" w:ascii="宋体" w:hAnsi="宋体" w:cs="宋体"/>
          <w:b/>
          <w:bCs/>
          <w:sz w:val="24"/>
          <w:szCs w:val="24"/>
          <w:lang w:val="zh-CN"/>
        </w:rPr>
      </w:pPr>
      <w:r>
        <w:rPr>
          <w:rFonts w:hint="eastAsia" w:ascii="宋体" w:hAnsi="宋体" w:cs="宋体"/>
          <w:b/>
          <w:bCs/>
          <w:sz w:val="24"/>
          <w:szCs w:val="24"/>
          <w:lang w:val="zh-CN"/>
        </w:rPr>
        <w:t>四、</w:t>
      </w:r>
      <w:r>
        <w:rPr>
          <w:rFonts w:hint="eastAsia" w:ascii="宋体" w:hAnsi="宋体" w:cs="宋体"/>
          <w:b/>
          <w:bCs/>
          <w:sz w:val="24"/>
          <w:szCs w:val="24"/>
        </w:rPr>
        <w:t>服务</w:t>
      </w:r>
      <w:r>
        <w:rPr>
          <w:rFonts w:hint="eastAsia" w:ascii="宋体" w:hAnsi="宋体" w:cs="宋体"/>
          <w:b/>
          <w:bCs/>
          <w:sz w:val="24"/>
          <w:szCs w:val="24"/>
          <w:lang w:val="zh-CN"/>
        </w:rPr>
        <w:t>条件:</w:t>
      </w:r>
    </w:p>
    <w:p w14:paraId="6B001717">
      <w:pPr>
        <w:tabs>
          <w:tab w:val="left" w:pos="735"/>
        </w:tabs>
        <w:autoSpaceDE w:val="0"/>
        <w:autoSpaceDN w:val="0"/>
        <w:adjustRightInd w:val="0"/>
        <w:snapToGrid w:val="0"/>
        <w:spacing w:line="360" w:lineRule="auto"/>
        <w:ind w:firstLine="480" w:firstLineChars="200"/>
        <w:rPr>
          <w:rFonts w:hint="eastAsia" w:ascii="宋体" w:hAnsi="宋体" w:cs="宋体"/>
          <w:sz w:val="24"/>
          <w:szCs w:val="24"/>
          <w:u w:val="single"/>
        </w:rPr>
      </w:pPr>
      <w:r>
        <w:rPr>
          <w:rFonts w:hint="eastAsia" w:ascii="宋体" w:hAnsi="宋体" w:cs="宋体"/>
          <w:sz w:val="24"/>
          <w:szCs w:val="24"/>
        </w:rPr>
        <w:t>1、服务地点：</w:t>
      </w:r>
    </w:p>
    <w:p w14:paraId="6F8F9E06">
      <w:pPr>
        <w:tabs>
          <w:tab w:val="left" w:pos="735"/>
        </w:tabs>
        <w:autoSpaceDE w:val="0"/>
        <w:autoSpaceDN w:val="0"/>
        <w:adjustRightInd w:val="0"/>
        <w:snapToGrid w:val="0"/>
        <w:spacing w:line="360" w:lineRule="auto"/>
        <w:ind w:firstLine="480" w:firstLineChars="200"/>
        <w:rPr>
          <w:rFonts w:hint="eastAsia" w:ascii="宋体" w:hAnsi="宋体" w:cs="宋体"/>
          <w:sz w:val="24"/>
          <w:szCs w:val="24"/>
          <w:u w:val="single"/>
        </w:rPr>
      </w:pPr>
      <w:r>
        <w:rPr>
          <w:rFonts w:hint="eastAsia" w:ascii="宋体" w:hAnsi="宋体" w:cs="宋体"/>
          <w:sz w:val="24"/>
          <w:szCs w:val="24"/>
        </w:rPr>
        <w:t>2、服务期限：</w:t>
      </w:r>
    </w:p>
    <w:p w14:paraId="1B2CF6BD">
      <w:pPr>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五</w:t>
      </w:r>
      <w:r>
        <w:rPr>
          <w:rFonts w:hint="eastAsia" w:ascii="宋体" w:hAnsi="宋体" w:cs="宋体"/>
          <w:b/>
          <w:bCs/>
          <w:sz w:val="24"/>
          <w:szCs w:val="24"/>
          <w:lang w:val="zh-CN"/>
        </w:rPr>
        <w:t>、</w:t>
      </w:r>
      <w:r>
        <w:rPr>
          <w:rFonts w:hint="eastAsia" w:ascii="宋体" w:hAnsi="宋体" w:cs="宋体"/>
          <w:b/>
          <w:bCs/>
          <w:sz w:val="24"/>
          <w:szCs w:val="24"/>
        </w:rPr>
        <w:t>质量保证：</w:t>
      </w:r>
    </w:p>
    <w:p w14:paraId="59E98FE0">
      <w:pPr>
        <w:spacing w:line="360" w:lineRule="auto"/>
        <w:ind w:firstLine="480" w:firstLineChars="200"/>
        <w:rPr>
          <w:rFonts w:hint="eastAsia" w:ascii="宋体" w:hAnsi="宋体" w:cs="宋体"/>
          <w:sz w:val="24"/>
          <w:szCs w:val="24"/>
        </w:rPr>
      </w:pPr>
      <w:r>
        <w:rPr>
          <w:rFonts w:hint="eastAsia" w:ascii="宋体" w:hAnsi="宋体" w:cs="宋体"/>
          <w:sz w:val="24"/>
          <w:szCs w:val="24"/>
        </w:rPr>
        <w:t>1、安全服务应符合国家有关规范、磋商文件、响应文件、合同及甲方要求。。</w:t>
      </w:r>
    </w:p>
    <w:p w14:paraId="02534B23">
      <w:pPr>
        <w:spacing w:line="360" w:lineRule="auto"/>
        <w:ind w:firstLine="480" w:firstLineChars="200"/>
        <w:rPr>
          <w:rFonts w:hint="eastAsia" w:ascii="宋体" w:hAnsi="宋体" w:cs="宋体"/>
          <w:sz w:val="24"/>
          <w:szCs w:val="24"/>
        </w:rPr>
      </w:pPr>
      <w:r>
        <w:rPr>
          <w:rFonts w:hint="eastAsia" w:ascii="宋体" w:hAnsi="宋体" w:cs="宋体"/>
          <w:sz w:val="24"/>
          <w:szCs w:val="24"/>
        </w:rPr>
        <w:t>2、乙方提供相关数据、结论确保真实性、可靠性。</w:t>
      </w:r>
    </w:p>
    <w:p w14:paraId="02541B6E">
      <w:pPr>
        <w:autoSpaceDE w:val="0"/>
        <w:autoSpaceDN w:val="0"/>
        <w:adjustRightInd w:val="0"/>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六、双方权利义务</w:t>
      </w:r>
    </w:p>
    <w:p w14:paraId="6B92B1A7">
      <w:pPr>
        <w:autoSpaceDE w:val="0"/>
        <w:autoSpaceDN w:val="0"/>
        <w:adjustRightInd w:val="0"/>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1、甲方的权利和义务</w:t>
      </w:r>
    </w:p>
    <w:p w14:paraId="579B0362">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1）甲方有权向乙方询问工作进展情况及相关的内容，有权检查和监督乙方的服务工作的质量、管理等情况，有权对乙方提供的数据服务和产品提出更正、改进的意见，有权要求乙方以书面形式就前述内容进行汇报。</w:t>
      </w:r>
    </w:p>
    <w:p w14:paraId="31C5483B">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（2）因乙方违反合同规定给甲方或相关方造成损失时，甲方有权要求乙方赔偿经济损失。</w:t>
      </w:r>
    </w:p>
    <w:p w14:paraId="62C02DC1">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3）当甲方认定项目服务专业人员不按项目服务合同履行其职责，或专业能力、管理能力、责任心较差，不能有效与甲方配合并履行其项目服务义务，或与第三人串通给甲方造与经济损失的，甲方有权要求乙方更换项目服务专业人员，如对甲方造成实际损失的，甲方有权终止合同并要求乙方承担相应的赔偿责任。</w:t>
      </w:r>
    </w:p>
    <w:p w14:paraId="6D862611">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（4）甲方有权同意或不同意乙方因自身工作需要而更换合同约定的主要工作小组成员的要求。</w:t>
      </w:r>
    </w:p>
    <w:p w14:paraId="388A082E">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5）甲方应当在合同履约中，督促、协调与本项目服务有关的第三人（与合同履行有关的相关单位）协同乙方办理有关服务事项。甲方就乙方书面提交并要求做出答复的事宜，在15个工作日内做出书面答复。乙方要求第三人提供有关资料时，甲方可根据自己的能力负责协调、转达及资料转送，但并不成为甲方当然的义务。</w:t>
      </w:r>
    </w:p>
    <w:p w14:paraId="30DD0F07">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（6）甲方应当履行本合同约定的义务，如有违反则应当承担违约责任，赔偿给乙方造成的直接经济损失。</w:t>
      </w:r>
    </w:p>
    <w:p w14:paraId="2F6CB419">
      <w:pPr>
        <w:autoSpaceDE w:val="0"/>
        <w:autoSpaceDN w:val="0"/>
        <w:adjustRightInd w:val="0"/>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2、乙方的权利和义务</w:t>
      </w:r>
    </w:p>
    <w:p w14:paraId="0F0ACBED">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（1）乙方有权在履行合同期间内取得按合同约定应有的报酬。</w:t>
      </w:r>
    </w:p>
    <w:p w14:paraId="2408BBA0">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（2）乙方在项目服务过程中，如甲方提供的资料不明确时可向甲方提出书面报告。</w:t>
      </w:r>
    </w:p>
    <w:p w14:paraId="7AFCC3A0">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3）乙方有权在合同履行期间得到甲方必要的支持，有权拒绝执行甲方任何不符合有关法律、法规规定的要求。乙方应严格遵守国家、地方的法律、法规的规定，保证在合法且不侵犯他人利益的原则下进行项目服务活动，并对其所进行的服务活动负责。</w:t>
      </w:r>
    </w:p>
    <w:p w14:paraId="09141861">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4）乙方应按本合同所述的时间、服务范围和内容,尽自己的一切努力,按本合同约定及行业通常接受的技术惯例和专业机构承认的标准，高效地履行自己的义务。在项目执行过程中支持和维护国家和甲方的合法利益。</w:t>
      </w:r>
    </w:p>
    <w:p w14:paraId="571118B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5）乙方应向甲方提供与本项目服务有关的资料，包括项目服务单位、人员的资质证书及承担本合同业务的专业人员名单、项目服务工作计划等，并按合同约定的范围、时间、工作依据、工作标准等，出具内容齐全、规范、准确的相关报告等。</w:t>
      </w:r>
    </w:p>
    <w:p w14:paraId="564C2087">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6）乙方应对履行本合同所规定的服务以及在履行中因自己违约而给甲方造成的损失承担责任并应当向甲方进行赔偿。但下例情况不视为乙方违约:A非乙方的行为、过失、违约或失职造成的损失或伤害；B不可抗力造成的损失。</w:t>
      </w:r>
    </w:p>
    <w:p w14:paraId="73F3E6BB">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7）乙方必须为本项目涉及的各种资料、数据和收据等保密。未经甲方书面同意,乙方及乙方员工不得泄露、遗失、复印与本合同规定业务活动有关的一切资料和内容。所有甲方或第三人（与合同业务有关相关单位）提供的与本合同规定业务活动有关的一切资料，在合同结束后均应归还。</w:t>
      </w:r>
    </w:p>
    <w:p w14:paraId="627EFFD7">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（8）乙方应对本项目所提供服务结果的可靠性、准确性、全面性向甲方负责，由于服务结果的可靠性、准确性、全面性不足而导致甲方工作偏差或失误，乙方应承担责任。</w:t>
      </w:r>
    </w:p>
    <w:p w14:paraId="735AE955">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（9）乙方在履行合同期间或合同规定期限内，履行本合同所确定的项目经理及主要专业技术、管理人员等必须是本单位职工和该项目的实际操作者，未经甲方同意，乙方不得调换或撤离上述人员。</w:t>
      </w:r>
    </w:p>
    <w:p w14:paraId="3078A8D2">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（10）按本合同支付给乙方的报酬应为本合同服务的唯一报酬。</w:t>
      </w:r>
    </w:p>
    <w:p w14:paraId="6FAC426D">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（11）乙方在本合同履行期间均不能直接或间接从事与本合同中活动相冲突的商业或职业活动，不得以任何理由向甲方任何工作人员行贿或有类似的行为。</w:t>
      </w:r>
    </w:p>
    <w:p w14:paraId="4FE747D8">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（12）乙方项目人员为甲方提供服务过程中，个人及财产安全由乙方自行负责，与甲方无关。乙方与项目人员建立合法的劳动关系，并承担用工主体责任。</w:t>
      </w:r>
    </w:p>
    <w:p w14:paraId="660ABB25">
      <w:pPr>
        <w:spacing w:line="360" w:lineRule="auto"/>
        <w:ind w:firstLine="480" w:firstLineChars="200"/>
        <w:rPr>
          <w:rFonts w:hint="eastAsia" w:ascii="宋体" w:hAnsi="宋体" w:cs="宋体"/>
          <w:sz w:val="24"/>
          <w:szCs w:val="24"/>
        </w:rPr>
      </w:pPr>
      <w:r>
        <w:rPr>
          <w:rFonts w:hint="eastAsia" w:ascii="宋体" w:hAnsi="宋体" w:cs="宋体"/>
          <w:sz w:val="24"/>
          <w:szCs w:val="24"/>
        </w:rPr>
        <w:t>（13）除甲方事先书面同意外，乙方不得部分或全部转让其应履行的合同项下的义务。</w:t>
      </w:r>
    </w:p>
    <w:p w14:paraId="0D6BB5E9">
      <w:pPr>
        <w:adjustRightInd w:val="0"/>
        <w:snapToGrid w:val="0"/>
        <w:spacing w:line="360" w:lineRule="auto"/>
        <w:ind w:firstLine="482" w:firstLineChars="200"/>
        <w:rPr>
          <w:rFonts w:hint="eastAsia" w:ascii="宋体" w:hAnsi="宋体" w:cs="宋体"/>
          <w:sz w:val="24"/>
          <w:szCs w:val="24"/>
          <w:lang w:val="zh-CN"/>
        </w:rPr>
      </w:pPr>
      <w:r>
        <w:rPr>
          <w:rFonts w:hint="eastAsia" w:ascii="宋体" w:hAnsi="宋体" w:cs="宋体"/>
          <w:b/>
          <w:bCs/>
          <w:sz w:val="24"/>
          <w:szCs w:val="24"/>
        </w:rPr>
        <w:t>七</w:t>
      </w:r>
      <w:r>
        <w:rPr>
          <w:rFonts w:hint="eastAsia" w:ascii="宋体" w:hAnsi="宋体" w:cs="宋体"/>
          <w:b/>
          <w:bCs/>
          <w:sz w:val="24"/>
          <w:szCs w:val="24"/>
          <w:lang w:val="zh-CN"/>
        </w:rPr>
        <w:t>、违约责任</w:t>
      </w:r>
    </w:p>
    <w:p w14:paraId="3B1D8BC3">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（1）按照《中华人民共和国民法典》中的相关条款执行。</w:t>
      </w:r>
    </w:p>
    <w:p w14:paraId="39BB2EB6">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乙方未能按本合同规定的期限提供服务，从逾期之日起每日按本合同总价1‰的数额向甲方支付违约金；逾期一个月以上的，甲方有权终止合同，且有权要求乙方支付合同价款20%的违约金，违约金不足以弥补损失的，乙方应予补足。</w:t>
      </w:r>
    </w:p>
    <w:p w14:paraId="2126E162">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乙方在履行合同过程中出现重大事故时，由监理机构界定责任边界和严重程度，甲方将依据事故严重程度计算重大事故违约金，并有权根据合同约定视乙方责任情况采取终止合同、将该乙方报财政部门备案、列入黑名单等措施。</w:t>
      </w:r>
    </w:p>
    <w:p w14:paraId="10B39240">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如乙方在履行合同过程中的行为使甲方遭受损失（包括自身的直接经济损失、名誉损失及对外支付的赔偿金、和解款、律师费、诉讼费等间接经济损失），乙方需承担法律责任（包括但不限于造成甲方或者任何第三方的损失或损害的赔偿责任）。</w:t>
      </w:r>
    </w:p>
    <w:p w14:paraId="21A39404">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4）乙方所履行的服务质量或服务数量不符合合同规定及采购文件规定的，经甲方提出异议后仍不改正的，甲方有权中止接受服务，单方面解除合同，且有权要求乙方支付合同价款20%的违约金，违约金不足以弥补损失的，乙方应予补足。</w:t>
      </w:r>
    </w:p>
    <w:p w14:paraId="1685D814">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（5）乙方擅自将本合同所涉事项转委托给第三人的，甲方有权单方解除本合同，同时，乙方还应按照本合同总价款的20%向甲方支付违约金，违约金不足以弥补损失的，乙方应予补足。</w:t>
      </w:r>
    </w:p>
    <w:p w14:paraId="4902AEB8">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6）服务过程中，乙方无正当理由提前终止本合同的，甲方有权拒绝支付费用，乙方应返还甲方已支付全部费用，甲方还有权要求乙方支付本合同总价款20%的违约金，违约金不足以弥补甲方损失的，乙方应予补足。</w:t>
      </w:r>
    </w:p>
    <w:p w14:paraId="6F695E4D">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（7）本合同违约情形独立存在，可叠加使用，乙方同意甲方从应付未付款中先行扣除。</w:t>
      </w:r>
    </w:p>
    <w:p w14:paraId="3A1D99D4">
      <w:pPr>
        <w:adjustRightInd w:val="0"/>
        <w:snapToGrid w:val="0"/>
        <w:spacing w:line="360" w:lineRule="auto"/>
        <w:ind w:firstLine="482" w:firstLineChars="200"/>
        <w:rPr>
          <w:rFonts w:hint="eastAsia" w:ascii="宋体" w:hAnsi="宋体" w:cs="宋体"/>
          <w:b/>
          <w:bCs/>
          <w:sz w:val="24"/>
          <w:szCs w:val="24"/>
          <w:lang w:val="zh-CN"/>
        </w:rPr>
      </w:pPr>
      <w:r>
        <w:rPr>
          <w:rFonts w:hint="eastAsia" w:ascii="宋体" w:hAnsi="宋体" w:cs="宋体"/>
          <w:b/>
          <w:bCs/>
          <w:sz w:val="24"/>
          <w:szCs w:val="24"/>
          <w:lang w:val="zh-CN"/>
        </w:rPr>
        <w:t>八、验收</w:t>
      </w:r>
    </w:p>
    <w:p w14:paraId="11C80C63">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由甲方负责组织验收或者邀请有关专家、质检机构、采购代理机构共同进行验收,验收费用由乙方支付(备注：如有验收须向采购代理机构支付金额2000-3000元不等)；验收合格须交接项目实施的全部资料，并填写政府采购项目验收报告单。验收须以合同、招标文件及响应文件、澄清、及国家相应的标准、规范等为依据。</w:t>
      </w:r>
    </w:p>
    <w:p w14:paraId="04D3019E">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在甲方要求的期限内，乙方提交成果不具备验收条件的或验收不合格的，经甲方书面同意后可以根据实际情况，给予乙方一定的宽限期进行完善和修正。在宽限期内验收合格的，不视为违约，交付期限相应予以顺延；宽限期满仍不具备验收条件或验收不合格的，按本合同“违约责任”条款处理。</w:t>
      </w:r>
    </w:p>
    <w:p w14:paraId="6EED9443">
      <w:pPr>
        <w:adjustRightInd w:val="0"/>
        <w:snapToGrid w:val="0"/>
        <w:spacing w:line="360" w:lineRule="auto"/>
        <w:ind w:firstLine="482" w:firstLineChars="200"/>
        <w:rPr>
          <w:rFonts w:hint="eastAsia" w:ascii="宋体" w:hAnsi="宋体" w:cs="宋体"/>
          <w:b/>
          <w:bCs/>
          <w:sz w:val="24"/>
          <w:szCs w:val="24"/>
          <w:lang w:val="zh-CN"/>
        </w:rPr>
      </w:pPr>
      <w:r>
        <w:rPr>
          <w:rFonts w:hint="eastAsia" w:ascii="宋体" w:hAnsi="宋体" w:cs="宋体"/>
          <w:b/>
          <w:bCs/>
          <w:sz w:val="24"/>
          <w:szCs w:val="24"/>
        </w:rPr>
        <w:t>九</w:t>
      </w:r>
      <w:r>
        <w:rPr>
          <w:rFonts w:hint="eastAsia" w:ascii="宋体" w:hAnsi="宋体" w:cs="宋体"/>
          <w:b/>
          <w:bCs/>
          <w:sz w:val="24"/>
          <w:szCs w:val="24"/>
          <w:lang w:val="zh-CN"/>
        </w:rPr>
        <w:t>、保密义务</w:t>
      </w:r>
    </w:p>
    <w:p w14:paraId="574D4B20">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（一）乙方应当主动对直接或间接从甲方获得的保密信息承担保密业务，对于甲方未主动对外公布的信息，未经对方以纸质书面形式同意，不得泄露。</w:t>
      </w:r>
    </w:p>
    <w:p w14:paraId="1D5F462E">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二）保密信息包括但不限于：A.与项目有关的任何/所有协议、正式文书、往来传真或邮件以及任何形式的工作成果；B.甲方资料、数据平台、账号信息、工作计划、工作程序、图纸、专有方法、模式模板、任何形式文件、访谈记录、现场实测数据、咨询及其他资料；C.数据运行管理过程中涉及的各类数据、信息，利用数据、特定算法加工处理形成的数据集、数据接口、数据模型、数据报告、解决方案以及其他形态的数据产品和服务；D.属于第三方但甲方承担保密义务的信息；E.其他尽到审慎义务的人判断应予保密的信息。</w:t>
      </w:r>
    </w:p>
    <w:p w14:paraId="0D121957">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三）乙方应当采取充分、必要、有效、合理的措施对乙方、乙方相关人员、乙方关联方所知晓的保密信息严格保密。对于未主动对外公布的信息，未经甲方书面许可，不得以任何形式直接或间接向第三方给予、提供、传递、传达、泄露，不得允许（包括出借、赠与、出租、转让等行为）或协助任何第三人、自己本人使用保密信息，不得用于其他用途。</w:t>
      </w:r>
    </w:p>
    <w:p w14:paraId="50646383">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四）乙方应当采取一切合理的保护措施，防止保密信息在未经授权的情况下被披露或传播。若发现保密信息泄露，乙方应第一时间通知甲方，在合法、合规的前提下，立即采取补救措施使损失降到最低。此外，乙方应承担由此引起的法律责任和经济责任，包括但不限于违约金、赔偿因信息泄露产生的支出和所有损失。乙方相关人员、乙方关联方违反保密业务，乙方承担连带责任。</w:t>
      </w:r>
    </w:p>
    <w:p w14:paraId="780F887C">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五）乙方的保密义务自乙方、乙方相关人员、乙方关联方参与数据运行管理工作之日开始，至甲方书面通知乙方解除保密义务或者保密信息成为公开信息之日止。乙方和乙方关联方合同终止、撤销、解除、履行完毕以及乙方相关人员是否在职，均不影响其保密义务承担。</w:t>
      </w:r>
    </w:p>
    <w:p w14:paraId="185A1AC9">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（六）违反上述保密义务的，乙方应向甲方支付本合同总价款10%的违约金，乙方违反保密义务涉嫌违法违规的，按照《中华人民共和国保守国家秘密法》处理。</w:t>
      </w:r>
    </w:p>
    <w:p w14:paraId="42A58B26">
      <w:pPr>
        <w:adjustRightInd w:val="0"/>
        <w:snapToGrid w:val="0"/>
        <w:spacing w:line="360" w:lineRule="auto"/>
        <w:ind w:firstLine="482" w:firstLineChars="200"/>
        <w:rPr>
          <w:rFonts w:hint="eastAsia" w:ascii="宋体" w:hAnsi="宋体" w:cs="宋体"/>
          <w:b/>
          <w:bCs/>
          <w:sz w:val="24"/>
          <w:szCs w:val="24"/>
          <w:lang w:val="zh-CN"/>
        </w:rPr>
      </w:pPr>
      <w:r>
        <w:rPr>
          <w:rFonts w:hint="eastAsia" w:ascii="宋体" w:hAnsi="宋体" w:cs="宋体"/>
          <w:b/>
          <w:bCs/>
          <w:sz w:val="24"/>
          <w:szCs w:val="24"/>
          <w:lang w:val="zh-CN"/>
        </w:rPr>
        <w:t>十、知识产权</w:t>
      </w:r>
    </w:p>
    <w:p w14:paraId="2B898F52">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一）乙方应保证所提供和使用的文件、数据、信息、技术、工具等不得侵犯任何第三方的知识产权或其他权利，一旦发生侵权行为，由乙方承担法律责任和经济责任。乙方所接受或知悉的保密信息的权利及利益，仍属甲方财产或由其合法控制，甲方提供或披露保密信息予乙方并不构成任何知识产权的授权、让与或出租，也不构成对前述权利的放弃。</w:t>
      </w:r>
    </w:p>
    <w:p w14:paraId="1AB5BA3F">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二）未经甲方书面许可，乙方不得（并不得允许任何第三人）以任何形式申请、展示、提供、出租、出借、出售、复制、修改、转载、发表、出版、还原前述权利或创造相关衍生作品。一旦发生侵权行为，由乙方承担法律责任和经济责任。乙方在甲方授权许可的情况下可对授权内容进行修改、复制、改编、翻译、汇编或制作，形成衍生产品。在不违反相关法律法规的强制性规定、尊重相关原始授权内容的知识产权的基础上，该等衍生产品的相关知识产权归甲方及其关联公司或所授权许可的第三方所有。</w:t>
      </w:r>
    </w:p>
    <w:p w14:paraId="24844081">
      <w:pPr>
        <w:adjustRightInd w:val="0"/>
        <w:snapToGrid w:val="0"/>
        <w:spacing w:line="360" w:lineRule="auto"/>
        <w:ind w:firstLine="482" w:firstLineChars="200"/>
        <w:rPr>
          <w:rFonts w:hint="eastAsia" w:ascii="宋体" w:hAnsi="宋体" w:cs="宋体"/>
          <w:b/>
          <w:bCs/>
          <w:sz w:val="24"/>
          <w:szCs w:val="24"/>
          <w:lang w:val="zh-CN"/>
        </w:rPr>
      </w:pPr>
      <w:r>
        <w:rPr>
          <w:rFonts w:hint="eastAsia" w:ascii="宋体" w:hAnsi="宋体" w:cs="宋体"/>
          <w:b/>
          <w:bCs/>
          <w:sz w:val="24"/>
          <w:szCs w:val="24"/>
          <w:lang w:val="zh-CN"/>
        </w:rPr>
        <w:t>十一、不可抗力</w:t>
      </w:r>
    </w:p>
    <w:p w14:paraId="2C83882E">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一）在履行合同过程中因受战争、火灾、地震、疫情等自然灾害和社会事件以及其他在签订本合同时任何一方均无法预知，无法避免并克服其发生和后果且使本数据运营服务收到影响的任何事件，乙方应当在第一时间与相关单位配合，采取有效手段防止上述不可抗力事件的后果，减轻可能给甲方造成的损失；且本合同履行的期限应予以延长，延长的期限应相当于不可抗力事件所影响的时间。</w:t>
      </w:r>
    </w:p>
    <w:p w14:paraId="5E76531E">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二）不可抗力事件受影响的一方应当在不可抗力因素发生后不迟于15日内以书面形式通知对方，并提供有关该等影响因素的详尽资料，说明不能履行或者延迟履行本合同全部或部分条款的原因，且应在此后30日内以书面形式向对方提供有关部门签发的有效合法的证明作为证据。在发生不可抗力时，双方对各自控制下的设备、资料负有保管责任，对于未受不可抗力影响并且可以继续履行的合同义务应继续履行。</w:t>
      </w:r>
    </w:p>
    <w:p w14:paraId="7355C51B">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（三）如不可抗力延续超过45日以上（含本数）时，甲乙双方应通过友好协商解决本合同的执行问题，并应尽快达成协议。</w:t>
      </w:r>
    </w:p>
    <w:p w14:paraId="0B4FC034">
      <w:pPr>
        <w:adjustRightInd w:val="0"/>
        <w:snapToGrid w:val="0"/>
        <w:spacing w:line="360" w:lineRule="auto"/>
        <w:ind w:firstLine="482" w:firstLineChars="200"/>
        <w:rPr>
          <w:rFonts w:hint="eastAsia" w:ascii="宋体" w:hAnsi="宋体" w:cs="宋体"/>
          <w:b/>
          <w:bCs/>
          <w:sz w:val="24"/>
          <w:szCs w:val="24"/>
          <w:lang w:val="zh-CN"/>
        </w:rPr>
      </w:pPr>
      <w:r>
        <w:rPr>
          <w:rFonts w:hint="eastAsia" w:ascii="宋体" w:hAnsi="宋体" w:cs="宋体"/>
          <w:b/>
          <w:bCs/>
          <w:sz w:val="24"/>
          <w:szCs w:val="24"/>
          <w:lang w:val="zh-CN"/>
        </w:rPr>
        <w:t>十二、适用法律及争议解决</w:t>
      </w:r>
    </w:p>
    <w:p w14:paraId="791F9270">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（一）本合同的成立、生效、履行、解释及争议解决，适用中华人民共和国法律、法规。</w:t>
      </w:r>
    </w:p>
    <w:p w14:paraId="231A376D">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（二）甲、乙双方在履行本合同过程中若发生争议，首先应友好协商解决；协商不成的，任何一方均有权提交甲方所在地人民法院解决。除非另有规定，诉讼期间双方应当继续履行合同规定的义务。</w:t>
      </w:r>
    </w:p>
    <w:p w14:paraId="06DB080C">
      <w:pPr>
        <w:adjustRightInd w:val="0"/>
        <w:snapToGrid w:val="0"/>
        <w:spacing w:line="360" w:lineRule="auto"/>
        <w:ind w:firstLine="482" w:firstLineChars="200"/>
        <w:rPr>
          <w:rFonts w:hint="eastAsia" w:ascii="宋体" w:hAnsi="宋体" w:cs="宋体"/>
          <w:b/>
          <w:bCs/>
          <w:sz w:val="24"/>
          <w:szCs w:val="24"/>
          <w:lang w:val="zh-CN"/>
        </w:rPr>
      </w:pPr>
      <w:r>
        <w:rPr>
          <w:rFonts w:hint="eastAsia" w:ascii="宋体" w:hAnsi="宋体" w:cs="宋体"/>
          <w:b/>
          <w:bCs/>
          <w:sz w:val="24"/>
          <w:szCs w:val="24"/>
        </w:rPr>
        <w:t>十三</w:t>
      </w:r>
      <w:r>
        <w:rPr>
          <w:rFonts w:hint="eastAsia" w:ascii="宋体" w:hAnsi="宋体" w:cs="宋体"/>
          <w:b/>
          <w:bCs/>
          <w:sz w:val="24"/>
          <w:szCs w:val="24"/>
          <w:lang w:val="zh-CN"/>
        </w:rPr>
        <w:t>、合同组成</w:t>
      </w:r>
    </w:p>
    <w:p w14:paraId="615CFE39">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1、成交通知书</w:t>
      </w:r>
    </w:p>
    <w:p w14:paraId="496A41B3">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2、合同文件</w:t>
      </w:r>
    </w:p>
    <w:p w14:paraId="73D210F4">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3、国家相关规范及标准</w:t>
      </w:r>
    </w:p>
    <w:p w14:paraId="39A3A7C0">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4、竞争性磋商文件</w:t>
      </w:r>
    </w:p>
    <w:p w14:paraId="3BBEED50">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5、磋商响应文件</w:t>
      </w:r>
    </w:p>
    <w:p w14:paraId="6707B823">
      <w:pPr>
        <w:adjustRightInd w:val="0"/>
        <w:snapToGrid w:val="0"/>
        <w:spacing w:line="360" w:lineRule="auto"/>
        <w:ind w:firstLine="482" w:firstLineChars="200"/>
        <w:rPr>
          <w:rFonts w:hint="eastAsia" w:ascii="宋体" w:hAnsi="宋体" w:cs="宋体"/>
          <w:b/>
          <w:bCs/>
          <w:sz w:val="24"/>
          <w:szCs w:val="24"/>
          <w:lang w:val="zh-CN"/>
        </w:rPr>
      </w:pPr>
      <w:r>
        <w:rPr>
          <w:rFonts w:hint="eastAsia" w:ascii="宋体" w:hAnsi="宋体" w:cs="宋体"/>
          <w:b/>
          <w:bCs/>
          <w:sz w:val="24"/>
          <w:szCs w:val="24"/>
        </w:rPr>
        <w:t>十四</w:t>
      </w:r>
      <w:r>
        <w:rPr>
          <w:rFonts w:hint="eastAsia" w:ascii="宋体" w:hAnsi="宋体" w:cs="宋体"/>
          <w:b/>
          <w:bCs/>
          <w:sz w:val="24"/>
          <w:szCs w:val="24"/>
          <w:lang w:val="zh-CN"/>
        </w:rPr>
        <w:t>、合同生效及其它</w:t>
      </w:r>
    </w:p>
    <w:p w14:paraId="7ABE787B">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1、合同未尽事宜、由甲、乙双方协商，作为合同补充，与原合同具有同等法律效力。</w:t>
      </w:r>
    </w:p>
    <w:p w14:paraId="0ABFE5E3">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2、本合同正本一式   份，甲方、乙方双方分别执   份，备案   份。</w:t>
      </w:r>
    </w:p>
    <w:p w14:paraId="1DC5D406">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3、合同经甲乙双方法定代表人或其授权代表盖章、签字并加盖公章后生效，合同签订地点为         。</w:t>
      </w:r>
    </w:p>
    <w:p w14:paraId="220BE34A">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4、生效时间：    年   月    日</w:t>
      </w:r>
    </w:p>
    <w:p w14:paraId="15A1479E">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（以下无正文，为合同签章页）</w:t>
      </w:r>
    </w:p>
    <w:p w14:paraId="24AF84FD">
      <w:pPr>
        <w:adjustRightInd w:val="0"/>
        <w:snapToGrid w:val="0"/>
        <w:spacing w:line="360" w:lineRule="auto"/>
        <w:ind w:firstLine="480" w:firstLineChars="200"/>
        <w:rPr>
          <w:rFonts w:hint="eastAsia" w:ascii="宋体" w:hAnsi="宋体" w:cs="宋体"/>
          <w:sz w:val="24"/>
          <w:szCs w:val="24"/>
        </w:rPr>
      </w:pPr>
    </w:p>
    <w:p w14:paraId="17865A82">
      <w:pPr>
        <w:adjustRightInd w:val="0"/>
        <w:snapToGrid w:val="0"/>
        <w:spacing w:line="460" w:lineRule="exact"/>
        <w:ind w:firstLine="480" w:firstLineChars="200"/>
        <w:rPr>
          <w:rFonts w:hint="eastAsia" w:ascii="宋体" w:hAnsi="宋体" w:cs="宋体"/>
          <w:sz w:val="24"/>
          <w:szCs w:val="24"/>
        </w:rPr>
      </w:pPr>
    </w:p>
    <w:tbl>
      <w:tblPr>
        <w:tblStyle w:val="3"/>
        <w:tblW w:w="0" w:type="auto"/>
        <w:jc w:val="center"/>
        <w:tblLayout w:type="fixed"/>
        <w:tblCellMar>
          <w:top w:w="0" w:type="dxa"/>
          <w:left w:w="108" w:type="dxa"/>
          <w:bottom w:w="0" w:type="dxa"/>
          <w:right w:w="108" w:type="dxa"/>
        </w:tblCellMar>
      </w:tblPr>
      <w:tblGrid>
        <w:gridCol w:w="4643"/>
        <w:gridCol w:w="4643"/>
      </w:tblGrid>
      <w:tr w14:paraId="2CED167F">
        <w:tblPrEx>
          <w:tblCellMar>
            <w:top w:w="0" w:type="dxa"/>
            <w:left w:w="108" w:type="dxa"/>
            <w:bottom w:w="0" w:type="dxa"/>
            <w:right w:w="108" w:type="dxa"/>
          </w:tblCellMar>
        </w:tblPrEx>
        <w:trPr>
          <w:jc w:val="center"/>
        </w:trPr>
        <w:tc>
          <w:tcPr>
            <w:tcW w:w="4643" w:type="dxa"/>
            <w:noWrap w:val="0"/>
            <w:vAlign w:val="top"/>
          </w:tcPr>
          <w:p w14:paraId="515C5956">
            <w:pPr>
              <w:adjustRightInd w:val="0"/>
              <w:snapToGrid w:val="0"/>
              <w:spacing w:line="360" w:lineRule="auto"/>
              <w:ind w:firstLine="645"/>
              <w:rPr>
                <w:rFonts w:hint="eastAsia" w:ascii="宋体" w:hAnsi="宋体" w:cs="宋体"/>
                <w:kern w:val="0"/>
                <w:sz w:val="24"/>
                <w:szCs w:val="24"/>
              </w:rPr>
            </w:pPr>
            <w:r>
              <w:rPr>
                <w:rFonts w:hint="eastAsia" w:ascii="宋体" w:hAnsi="宋体" w:cs="宋体"/>
                <w:kern w:val="0"/>
                <w:sz w:val="24"/>
                <w:szCs w:val="24"/>
              </w:rPr>
              <w:t>甲方名称（盖章）:</w:t>
            </w:r>
          </w:p>
          <w:p w14:paraId="5EAD7BAC">
            <w:pPr>
              <w:adjustRightInd w:val="0"/>
              <w:snapToGrid w:val="0"/>
              <w:spacing w:line="360" w:lineRule="auto"/>
              <w:ind w:firstLine="645"/>
              <w:rPr>
                <w:rFonts w:hint="eastAsia" w:ascii="宋体" w:hAnsi="宋体" w:cs="宋体"/>
                <w:kern w:val="0"/>
                <w:sz w:val="24"/>
                <w:szCs w:val="24"/>
              </w:rPr>
            </w:pPr>
            <w:r>
              <w:rPr>
                <w:rFonts w:hint="eastAsia" w:ascii="宋体" w:hAnsi="宋体" w:cs="宋体"/>
                <w:kern w:val="0"/>
                <w:sz w:val="24"/>
                <w:szCs w:val="24"/>
              </w:rPr>
              <w:t>地址：</w:t>
            </w:r>
          </w:p>
          <w:p w14:paraId="3DF8BBEC">
            <w:pPr>
              <w:adjustRightInd w:val="0"/>
              <w:snapToGrid w:val="0"/>
              <w:spacing w:line="360" w:lineRule="auto"/>
              <w:ind w:firstLine="645"/>
              <w:rPr>
                <w:rFonts w:hint="eastAsia" w:ascii="宋体" w:hAnsi="宋体" w:cs="宋体"/>
                <w:kern w:val="0"/>
                <w:sz w:val="24"/>
                <w:szCs w:val="24"/>
              </w:rPr>
            </w:pPr>
            <w:r>
              <w:rPr>
                <w:rFonts w:hint="eastAsia" w:ascii="宋体" w:hAnsi="宋体" w:cs="宋体"/>
                <w:kern w:val="0"/>
                <w:sz w:val="24"/>
                <w:szCs w:val="24"/>
              </w:rPr>
              <w:t>法定代表人或委托代理人（签字）：</w:t>
            </w:r>
          </w:p>
          <w:p w14:paraId="6FC1282C">
            <w:pPr>
              <w:adjustRightInd w:val="0"/>
              <w:snapToGrid w:val="0"/>
              <w:spacing w:line="360" w:lineRule="auto"/>
              <w:ind w:firstLine="645"/>
              <w:rPr>
                <w:rFonts w:hint="eastAsia" w:ascii="宋体" w:hAnsi="宋体" w:cs="宋体"/>
                <w:kern w:val="0"/>
                <w:sz w:val="24"/>
                <w:szCs w:val="24"/>
              </w:rPr>
            </w:pPr>
            <w:r>
              <w:rPr>
                <w:rFonts w:hint="eastAsia" w:ascii="宋体" w:hAnsi="宋体" w:cs="宋体"/>
                <w:kern w:val="0"/>
                <w:sz w:val="24"/>
                <w:szCs w:val="24"/>
              </w:rPr>
              <w:t>电话：</w:t>
            </w:r>
          </w:p>
          <w:p w14:paraId="371A9FF4">
            <w:pPr>
              <w:adjustRightInd w:val="0"/>
              <w:snapToGrid w:val="0"/>
              <w:spacing w:line="360" w:lineRule="auto"/>
              <w:ind w:firstLine="645"/>
              <w:rPr>
                <w:rFonts w:hint="eastAsia" w:ascii="宋体" w:hAnsi="宋体" w:cs="宋体"/>
                <w:kern w:val="0"/>
                <w:sz w:val="24"/>
                <w:szCs w:val="24"/>
              </w:rPr>
            </w:pPr>
            <w:r>
              <w:rPr>
                <w:rFonts w:hint="eastAsia" w:ascii="宋体" w:hAnsi="宋体" w:cs="宋体"/>
                <w:kern w:val="0"/>
                <w:sz w:val="24"/>
                <w:szCs w:val="24"/>
              </w:rPr>
              <w:t>开户银行：</w:t>
            </w:r>
          </w:p>
          <w:p w14:paraId="6D8A4CAE">
            <w:pPr>
              <w:adjustRightInd w:val="0"/>
              <w:snapToGrid w:val="0"/>
              <w:spacing w:line="360" w:lineRule="auto"/>
              <w:ind w:firstLine="645"/>
              <w:rPr>
                <w:rFonts w:hint="eastAsia" w:ascii="宋体" w:hAnsi="宋体" w:cs="宋体"/>
                <w:kern w:val="0"/>
                <w:sz w:val="24"/>
                <w:szCs w:val="24"/>
              </w:rPr>
            </w:pPr>
            <w:r>
              <w:rPr>
                <w:rFonts w:hint="eastAsia" w:ascii="宋体" w:hAnsi="宋体" w:cs="宋体"/>
                <w:kern w:val="0"/>
                <w:sz w:val="24"/>
                <w:szCs w:val="24"/>
              </w:rPr>
              <w:t>账号：</w:t>
            </w:r>
          </w:p>
        </w:tc>
        <w:tc>
          <w:tcPr>
            <w:tcW w:w="4643" w:type="dxa"/>
            <w:noWrap w:val="0"/>
            <w:vAlign w:val="top"/>
          </w:tcPr>
          <w:p w14:paraId="7B4F7E8A">
            <w:pPr>
              <w:adjustRightInd w:val="0"/>
              <w:snapToGrid w:val="0"/>
              <w:spacing w:line="360" w:lineRule="auto"/>
              <w:ind w:firstLine="645"/>
              <w:rPr>
                <w:rFonts w:hint="eastAsia" w:ascii="宋体" w:hAnsi="宋体" w:cs="宋体"/>
                <w:kern w:val="0"/>
                <w:sz w:val="24"/>
                <w:szCs w:val="24"/>
              </w:rPr>
            </w:pPr>
            <w:r>
              <w:rPr>
                <w:rFonts w:hint="eastAsia" w:ascii="宋体" w:hAnsi="宋体" w:cs="宋体"/>
                <w:kern w:val="0"/>
                <w:sz w:val="24"/>
                <w:szCs w:val="24"/>
              </w:rPr>
              <w:t>乙方名称（盖章）:</w:t>
            </w:r>
          </w:p>
          <w:p w14:paraId="1146C316">
            <w:pPr>
              <w:adjustRightInd w:val="0"/>
              <w:snapToGrid w:val="0"/>
              <w:spacing w:line="360" w:lineRule="auto"/>
              <w:ind w:firstLine="645"/>
              <w:rPr>
                <w:rFonts w:hint="eastAsia" w:ascii="宋体" w:hAnsi="宋体" w:cs="宋体"/>
                <w:kern w:val="0"/>
                <w:sz w:val="24"/>
                <w:szCs w:val="24"/>
              </w:rPr>
            </w:pPr>
            <w:r>
              <w:rPr>
                <w:rFonts w:hint="eastAsia" w:ascii="宋体" w:hAnsi="宋体" w:cs="宋体"/>
                <w:kern w:val="0"/>
                <w:sz w:val="24"/>
                <w:szCs w:val="24"/>
              </w:rPr>
              <w:t>地址：</w:t>
            </w:r>
          </w:p>
          <w:p w14:paraId="6022CE2E">
            <w:pPr>
              <w:adjustRightInd w:val="0"/>
              <w:snapToGrid w:val="0"/>
              <w:spacing w:line="360" w:lineRule="auto"/>
              <w:ind w:firstLine="645"/>
              <w:rPr>
                <w:rFonts w:hint="eastAsia" w:ascii="宋体" w:hAnsi="宋体" w:cs="宋体"/>
                <w:kern w:val="0"/>
                <w:sz w:val="24"/>
                <w:szCs w:val="24"/>
              </w:rPr>
            </w:pPr>
            <w:r>
              <w:rPr>
                <w:rFonts w:hint="eastAsia" w:ascii="宋体" w:hAnsi="宋体" w:cs="宋体"/>
                <w:kern w:val="0"/>
                <w:sz w:val="24"/>
                <w:szCs w:val="24"/>
              </w:rPr>
              <w:t>法定代表人或委托代理人（签字）：</w:t>
            </w:r>
          </w:p>
          <w:p w14:paraId="0EC5A79B">
            <w:pPr>
              <w:adjustRightInd w:val="0"/>
              <w:snapToGrid w:val="0"/>
              <w:spacing w:line="360" w:lineRule="auto"/>
              <w:ind w:firstLine="645"/>
              <w:rPr>
                <w:rFonts w:hint="eastAsia" w:ascii="宋体" w:hAnsi="宋体" w:cs="宋体"/>
                <w:kern w:val="0"/>
                <w:sz w:val="24"/>
                <w:szCs w:val="24"/>
              </w:rPr>
            </w:pPr>
            <w:r>
              <w:rPr>
                <w:rFonts w:hint="eastAsia" w:ascii="宋体" w:hAnsi="宋体" w:cs="宋体"/>
                <w:kern w:val="0"/>
                <w:sz w:val="24"/>
                <w:szCs w:val="24"/>
              </w:rPr>
              <w:t>电话：</w:t>
            </w:r>
          </w:p>
          <w:p w14:paraId="04A4B63F">
            <w:pPr>
              <w:adjustRightInd w:val="0"/>
              <w:snapToGrid w:val="0"/>
              <w:spacing w:line="360" w:lineRule="auto"/>
              <w:ind w:firstLine="645"/>
              <w:rPr>
                <w:rFonts w:hint="eastAsia" w:ascii="宋体" w:hAnsi="宋体" w:cs="宋体"/>
                <w:kern w:val="0"/>
                <w:sz w:val="24"/>
                <w:szCs w:val="24"/>
              </w:rPr>
            </w:pPr>
            <w:r>
              <w:rPr>
                <w:rFonts w:hint="eastAsia" w:ascii="宋体" w:hAnsi="宋体" w:cs="宋体"/>
                <w:kern w:val="0"/>
                <w:sz w:val="24"/>
                <w:szCs w:val="24"/>
              </w:rPr>
              <w:t>开户银行：</w:t>
            </w:r>
          </w:p>
          <w:p w14:paraId="2309E736">
            <w:pPr>
              <w:adjustRightInd w:val="0"/>
              <w:snapToGrid w:val="0"/>
              <w:spacing w:line="360" w:lineRule="auto"/>
              <w:ind w:firstLine="645"/>
              <w:rPr>
                <w:rFonts w:hint="eastAsia" w:ascii="宋体" w:hAnsi="宋体" w:cs="宋体"/>
                <w:kern w:val="0"/>
                <w:sz w:val="24"/>
                <w:szCs w:val="24"/>
              </w:rPr>
            </w:pPr>
            <w:r>
              <w:rPr>
                <w:rFonts w:hint="eastAsia" w:ascii="宋体" w:hAnsi="宋体" w:cs="宋体"/>
                <w:kern w:val="0"/>
                <w:sz w:val="24"/>
                <w:szCs w:val="24"/>
              </w:rPr>
              <w:t>账号：</w:t>
            </w:r>
          </w:p>
        </w:tc>
      </w:tr>
    </w:tbl>
    <w:p w14:paraId="101E75E1">
      <w:pPr>
        <w:spacing w:before="156" w:beforeLines="50" w:after="156" w:afterLines="50" w:line="360" w:lineRule="auto"/>
        <w:ind w:firstLine="482" w:firstLineChars="200"/>
        <w:rPr>
          <w:rFonts w:hint="eastAsia" w:ascii="宋体" w:hAnsi="宋体" w:cs="宋体"/>
          <w:sz w:val="24"/>
          <w:szCs w:val="24"/>
          <w:lang w:val="zh-CN"/>
        </w:rPr>
      </w:pPr>
      <w:r>
        <w:rPr>
          <w:rFonts w:hint="eastAsia" w:ascii="宋体" w:hAnsi="宋体" w:cs="宋体"/>
          <w:b/>
          <w:bCs/>
          <w:sz w:val="24"/>
          <w:szCs w:val="24"/>
        </w:rPr>
        <w:t>注：甲乙双方正式签订合同时根据协商完善相关内容</w:t>
      </w:r>
    </w:p>
    <w:p w14:paraId="218F04D8">
      <w:pPr>
        <w:rPr>
          <w:rFonts w:hint="eastAsia" w:ascii="宋体" w:hAnsi="宋体" w:cs="宋体"/>
          <w:szCs w:val="28"/>
        </w:rPr>
      </w:pPr>
    </w:p>
    <w:p w14:paraId="6AC3FB1D">
      <w:bookmarkStart w:id="1" w:name="_GoBack"/>
      <w:bookmarkEnd w:id="1"/>
    </w:p>
    <w:sectPr>
      <w:footerReference r:id="rId4" w:type="first"/>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8F66A7">
    <w:pPr>
      <w:pStyle w:val="2"/>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8265E41">
                          <w:pPr>
                            <w:pStyle w:val="2"/>
                          </w:pPr>
                          <w:r>
                            <w:t xml:space="preserve">第 </w:t>
                          </w:r>
                          <w:r>
                            <w:fldChar w:fldCharType="begin"/>
                          </w:r>
                          <w:r>
                            <w:instrText xml:space="preserve"> PAGE  \* MERGEFORMAT </w:instrText>
                          </w:r>
                          <w:r>
                            <w:fldChar w:fldCharType="separate"/>
                          </w:r>
                          <w:r>
                            <w:t>106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path/>
              <v:fill on="f" focussize="0,0"/>
              <v:stroke on="f"/>
              <v:imagedata o:title=""/>
              <o:lock v:ext="edit" aspectratio="f"/>
              <v:textbox inset="0mm,0mm,0mm,0mm" style="mso-fit-shape-to-text:t;">
                <w:txbxContent>
                  <w:p w14:paraId="58265E41">
                    <w:pPr>
                      <w:pStyle w:val="2"/>
                    </w:pPr>
                    <w:r>
                      <w:t xml:space="preserve">第 </w:t>
                    </w:r>
                    <w:r>
                      <w:fldChar w:fldCharType="begin"/>
                    </w:r>
                    <w:r>
                      <w:instrText xml:space="preserve"> PAGE  \* MERGEFORMAT </w:instrText>
                    </w:r>
                    <w:r>
                      <w:fldChar w:fldCharType="separate"/>
                    </w:r>
                    <w:r>
                      <w:t>106</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3"/>
      <w:tblW w:w="0" w:type="auto"/>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576"/>
    </w:tblGrid>
    <w:tr w14:paraId="5F482107">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3" w:hRule="atLeast"/>
      </w:trPr>
      <w:tc>
        <w:tcPr>
          <w:tcW w:w="9402" w:type="dxa"/>
          <w:noWrap w:val="0"/>
          <w:vAlign w:val="top"/>
        </w:tcPr>
        <w:p w14:paraId="2196DFA0">
          <w:pPr>
            <w:pStyle w:val="2"/>
            <w:ind w:right="-85"/>
            <w:rPr>
              <w:rFonts w:ascii="仿宋" w:hAnsi="仿宋" w:eastAsia="仿宋"/>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34C272F">
                                <w:pPr>
                                  <w:pStyle w:val="2"/>
                                </w:pPr>
                                <w:r>
                                  <w:t xml:space="preserve">第 </w:t>
                                </w:r>
                                <w:r>
                                  <w:fldChar w:fldCharType="begin"/>
                                </w:r>
                                <w:r>
                                  <w:instrText xml:space="preserve"> PAGE  \* MERGEFORMAT </w:instrText>
                                </w:r>
                                <w:r>
                                  <w:fldChar w:fldCharType="separate"/>
                                </w:r>
                                <w:r>
                                  <w:t>45</w:t>
                                </w:r>
                                <w:r>
                                  <w:fldChar w:fldCharType="end"/>
                                </w:r>
                                <w:r>
                                  <w:t xml:space="preserve"> 页 共 </w:t>
                                </w:r>
                                <w:r>
                                  <w:fldChar w:fldCharType="begin"/>
                                </w:r>
                                <w:r>
                                  <w:instrText xml:space="preserve"> NUMPAGES  \* MERGEFORMAT </w:instrText>
                                </w:r>
                                <w:r>
                                  <w:fldChar w:fldCharType="separate"/>
                                </w:r>
                                <w:r>
                                  <w:t>64</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534C272F">
                          <w:pPr>
                            <w:pStyle w:val="2"/>
                          </w:pPr>
                          <w:r>
                            <w:t xml:space="preserve">第 </w:t>
                          </w:r>
                          <w:r>
                            <w:fldChar w:fldCharType="begin"/>
                          </w:r>
                          <w:r>
                            <w:instrText xml:space="preserve"> PAGE  \* MERGEFORMAT </w:instrText>
                          </w:r>
                          <w:r>
                            <w:fldChar w:fldCharType="separate"/>
                          </w:r>
                          <w:r>
                            <w:t>45</w:t>
                          </w:r>
                          <w:r>
                            <w:fldChar w:fldCharType="end"/>
                          </w:r>
                          <w:r>
                            <w:t xml:space="preserve"> 页 共 </w:t>
                          </w:r>
                          <w:r>
                            <w:fldChar w:fldCharType="begin"/>
                          </w:r>
                          <w:r>
                            <w:instrText xml:space="preserve"> NUMPAGES  \* MERGEFORMAT </w:instrText>
                          </w:r>
                          <w:r>
                            <w:fldChar w:fldCharType="separate"/>
                          </w:r>
                          <w:r>
                            <w:t>64</w:t>
                          </w:r>
                          <w:r>
                            <w:fldChar w:fldCharType="end"/>
                          </w:r>
                          <w:r>
                            <w:t xml:space="preserve"> 页</w:t>
                          </w:r>
                        </w:p>
                      </w:txbxContent>
                    </v:textbox>
                  </v:shape>
                </w:pict>
              </mc:Fallback>
            </mc:AlternateContent>
          </w:r>
          <w:r>
            <w:rPr>
              <w:rFonts w:hint="eastAsia" w:ascii="宋体" w:hAnsi="宋体" w:cs="宋体"/>
            </w:rPr>
            <w:t xml:space="preserve">陕西天沃工程项目管理有限公司 </w: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769B14">
                                <w:pPr>
                                  <w:pStyle w:val="2"/>
                                  <w:ind w:right="-85"/>
                                  <w:rPr>
                                    <w:rFonts w:ascii="宋体" w:hAnsi="宋体" w:cs="宋体"/>
                                    <w:szCs w:val="22"/>
                                  </w:rPr>
                                </w:pPr>
                                <w:r>
                                  <w:rPr>
                                    <w:rFonts w:hint="eastAsia" w:ascii="宋体" w:hAnsi="宋体" w:cs="宋体"/>
                                    <w:szCs w:val="22"/>
                                  </w:rPr>
                                  <w:t>-46-</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14:paraId="79769B14">
                          <w:pPr>
                            <w:pStyle w:val="2"/>
                            <w:ind w:right="-85"/>
                            <w:rPr>
                              <w:rFonts w:ascii="宋体" w:hAnsi="宋体" w:cs="宋体"/>
                              <w:szCs w:val="22"/>
                            </w:rPr>
                          </w:pPr>
                          <w:r>
                            <w:rPr>
                              <w:rFonts w:hint="eastAsia" w:ascii="宋体" w:hAnsi="宋体" w:cs="宋体"/>
                              <w:szCs w:val="22"/>
                            </w:rPr>
                            <w:t>-46-</w:t>
                          </w:r>
                        </w:p>
                      </w:txbxContent>
                    </v:textbox>
                  </v:shape>
                </w:pict>
              </mc:Fallback>
            </mc:AlternateContent>
          </w:r>
          <w:r>
            <w:rPr>
              <w:rFonts w:hint="eastAsia" w:ascii="仿宋" w:hAnsi="仿宋" w:eastAsia="仿宋"/>
            </w:rPr>
            <w:t xml:space="preserve">                          </w:t>
          </w:r>
          <w:r>
            <w:rPr>
              <w:rFonts w:hint="eastAsia" w:ascii="宋体" w:hAnsi="宋体" w:cs="宋体"/>
            </w:rPr>
            <w:t xml:space="preserve"> </w:t>
          </w:r>
          <w:r>
            <w:rPr>
              <w:rFonts w:hint="eastAsia" w:ascii="仿宋" w:hAnsi="仿宋" w:eastAsia="仿宋"/>
            </w:rPr>
            <w:t xml:space="preserve">                         </w:t>
          </w:r>
          <w:r>
            <w:rPr>
              <w:rFonts w:hint="eastAsia" w:ascii="宋体" w:hAnsi="宋体" w:cs="宋体"/>
            </w:rPr>
            <w:t xml:space="preserve"> Tel：029-68539602 </w:t>
          </w:r>
        </w:p>
        <w:p w14:paraId="2B4A8EFB">
          <w:pPr>
            <w:pStyle w:val="2"/>
            <w:ind w:right="-85"/>
            <w:rPr>
              <w:rFonts w:hint="eastAsia"/>
              <w:i/>
            </w:rPr>
          </w:pPr>
          <w:r>
            <w:rPr>
              <w:rFonts w:hint="eastAsia"/>
              <w:i/>
            </w:rPr>
            <w:t xml:space="preserve"> </w:t>
          </w:r>
        </w:p>
      </w:tc>
    </w:tr>
  </w:tbl>
  <w:p w14:paraId="7FB902BF">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3A1396"/>
    <w:multiLevelType w:val="singleLevel"/>
    <w:tmpl w:val="1A3A139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13876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2025-10-15T08:13:22Z</dcterms:created>
  <dc:creator>Administrator</dc:creator>
  <cp:lastModifiedBy>宋璟雯</cp:lastModifiedBy>
  <dcterms:modified xsi:type="dcterms:W3CDTF">2025-10-15T08:13:41Z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eyJoZGlkIjoiODZjZjBjN2RjMTAyZGVmYTE3N2I3MzFkMGE0ZmRhYzUiLCJ1c2VySWQiOiIxNDUxODIyODU0In0=</vt:lpwstr>
  </property>
  <property fmtid="{D5CDD505-2E9C-101B-9397-08002B2CF9AE}" pid="4" name="ICV">
    <vt:lpwstr>4BDA2F619D064DA2A8F8747CE112BA21_12</vt:lpwstr>
  </property>
</Properties>
</file>