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3970F5">
      <w:pPr>
        <w:shd w:val="clear"/>
        <w:kinsoku w:val="0"/>
        <w:spacing w:line="360" w:lineRule="auto"/>
        <w:jc w:val="center"/>
        <w:rPr>
          <w:rFonts w:ascii="仿宋" w:hAnsi="仿宋" w:eastAsia="仿宋" w:cs="仿宋"/>
          <w:color w:val="auto"/>
          <w:sz w:val="32"/>
          <w:szCs w:val="32"/>
          <w:highlight w:val="none"/>
        </w:rPr>
      </w:pPr>
      <w:r>
        <w:rPr>
          <w:rFonts w:hint="eastAsia" w:ascii="仿宋" w:hAnsi="仿宋" w:eastAsia="仿宋" w:cs="仿宋"/>
          <w:color w:val="auto"/>
          <w:highlight w:val="none"/>
        </w:rPr>
        <w:t xml:space="preserve"> </w:t>
      </w:r>
      <w:r>
        <w:rPr>
          <w:rFonts w:hint="eastAsia" w:ascii="仿宋" w:hAnsi="仿宋" w:eastAsia="仿宋" w:cs="仿宋"/>
          <w:color w:val="auto"/>
          <w:highlight w:val="none"/>
        </w:rPr>
        <w:br w:type="textWrapping"/>
      </w:r>
      <w:r>
        <w:rPr>
          <w:rFonts w:hint="eastAsia" w:ascii="仿宋" w:hAnsi="仿宋" w:eastAsia="仿宋" w:cs="仿宋"/>
          <w:color w:val="auto"/>
          <w:sz w:val="32"/>
          <w:szCs w:val="32"/>
          <w:highlight w:val="none"/>
          <w:u w:val="single"/>
        </w:rPr>
        <w:t>铁路通信实训室升级改造项目</w:t>
      </w:r>
      <w:r>
        <w:rPr>
          <w:rFonts w:hint="eastAsia" w:ascii="仿宋" w:hAnsi="仿宋" w:eastAsia="仿宋" w:cs="仿宋"/>
          <w:color w:val="auto"/>
          <w:sz w:val="32"/>
          <w:szCs w:val="32"/>
          <w:highlight w:val="none"/>
        </w:rPr>
        <w:t>项目采购合同</w:t>
      </w:r>
      <w:bookmarkStart w:id="2" w:name="_GoBack"/>
      <w:bookmarkEnd w:id="2"/>
    </w:p>
    <w:p w14:paraId="04AF35D6">
      <w:pPr>
        <w:shd w:val="clear"/>
        <w:kinsoku w:val="0"/>
        <w:spacing w:line="360" w:lineRule="auto"/>
        <w:ind w:firstLine="600" w:firstLineChars="250"/>
        <w:rPr>
          <w:rFonts w:ascii="仿宋" w:hAnsi="仿宋" w:eastAsia="仿宋" w:cs="仿宋"/>
          <w:color w:val="auto"/>
          <w:sz w:val="24"/>
          <w:highlight w:val="none"/>
        </w:rPr>
      </w:pPr>
    </w:p>
    <w:p w14:paraId="50B0FA27">
      <w:pPr>
        <w:shd w:val="clear"/>
        <w:kinsoku w:val="0"/>
        <w:spacing w:line="360" w:lineRule="auto"/>
        <w:ind w:firstLine="600" w:firstLineChars="250"/>
        <w:rPr>
          <w:rFonts w:ascii="仿宋" w:hAnsi="仿宋" w:eastAsia="仿宋" w:cs="仿宋"/>
          <w:color w:val="auto"/>
          <w:sz w:val="24"/>
          <w:highlight w:val="none"/>
        </w:rPr>
      </w:pPr>
      <w:r>
        <w:rPr>
          <w:rFonts w:hint="eastAsia" w:ascii="仿宋" w:hAnsi="仿宋" w:eastAsia="仿宋" w:cs="仿宋"/>
          <w:color w:val="auto"/>
          <w:sz w:val="24"/>
          <w:highlight w:val="none"/>
        </w:rPr>
        <w:t>甲方：陕西铁路工程职业技术学院</w:t>
      </w:r>
    </w:p>
    <w:p w14:paraId="307998D7">
      <w:pPr>
        <w:shd w:val="clear"/>
        <w:kinsoku w:val="0"/>
        <w:spacing w:line="360" w:lineRule="auto"/>
        <w:ind w:firstLine="600" w:firstLineChars="250"/>
        <w:rPr>
          <w:rFonts w:ascii="仿宋" w:hAnsi="仿宋" w:eastAsia="仿宋" w:cs="仿宋"/>
          <w:color w:val="auto"/>
          <w:sz w:val="24"/>
          <w:highlight w:val="none"/>
        </w:rPr>
      </w:pPr>
      <w:r>
        <w:rPr>
          <w:rFonts w:hint="eastAsia" w:ascii="仿宋" w:hAnsi="仿宋" w:eastAsia="仿宋" w:cs="仿宋"/>
          <w:color w:val="auto"/>
          <w:sz w:val="24"/>
          <w:highlight w:val="none"/>
        </w:rPr>
        <w:t xml:space="preserve">乙方： </w:t>
      </w:r>
    </w:p>
    <w:p w14:paraId="43E92E72">
      <w:pPr>
        <w:shd w:val="clear"/>
        <w:kinsoku w:val="0"/>
        <w:spacing w:line="360" w:lineRule="auto"/>
        <w:ind w:firstLine="600" w:firstLineChars="250"/>
        <w:rPr>
          <w:rFonts w:ascii="仿宋" w:hAnsi="仿宋" w:eastAsia="仿宋" w:cs="仿宋"/>
          <w:color w:val="auto"/>
          <w:sz w:val="24"/>
          <w:highlight w:val="none"/>
        </w:rPr>
      </w:pPr>
      <w:r>
        <w:rPr>
          <w:rFonts w:hint="eastAsia" w:ascii="仿宋" w:hAnsi="仿宋" w:eastAsia="仿宋" w:cs="仿宋"/>
          <w:color w:val="auto"/>
          <w:sz w:val="24"/>
          <w:highlight w:val="none"/>
        </w:rPr>
        <w:t>根据《中华人民共和国政府采购法》、《中华人民共和国民法典》、《中华人民共和国政府采购法实施条例》等法律法规，甲方通过公开招标，选定乙方为成交单位。甲、乙双方在平等基础上协商一致，达成如下合同条款:</w:t>
      </w:r>
    </w:p>
    <w:p w14:paraId="63A7AA0C">
      <w:pPr>
        <w:shd w:val="clear"/>
        <w:kinsoku w:val="0"/>
        <w:spacing w:line="360" w:lineRule="auto"/>
        <w:ind w:firstLine="600" w:firstLineChars="250"/>
        <w:rPr>
          <w:rFonts w:ascii="仿宋" w:hAnsi="仿宋" w:eastAsia="仿宋" w:cs="仿宋"/>
          <w:color w:val="auto"/>
          <w:sz w:val="24"/>
          <w:highlight w:val="none"/>
        </w:rPr>
      </w:pPr>
      <w:r>
        <w:rPr>
          <w:rFonts w:hint="eastAsia" w:ascii="仿宋" w:hAnsi="仿宋" w:eastAsia="仿宋" w:cs="仿宋"/>
          <w:color w:val="auto"/>
          <w:sz w:val="24"/>
          <w:highlight w:val="none"/>
        </w:rPr>
        <w:t>一、</w:t>
      </w:r>
      <w:r>
        <w:rPr>
          <w:rFonts w:hint="eastAsia" w:ascii="仿宋" w:hAnsi="仿宋" w:eastAsia="仿宋" w:cs="仿宋"/>
          <w:b/>
          <w:color w:val="auto"/>
          <w:sz w:val="24"/>
          <w:highlight w:val="none"/>
        </w:rPr>
        <w:t>合同内容    项目编号/包号：</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20"/>
        <w:gridCol w:w="1260"/>
        <w:gridCol w:w="900"/>
        <w:gridCol w:w="900"/>
        <w:gridCol w:w="900"/>
        <w:gridCol w:w="894"/>
        <w:gridCol w:w="839"/>
      </w:tblGrid>
      <w:tr w14:paraId="622F5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exact"/>
          <w:jc w:val="center"/>
        </w:trPr>
        <w:tc>
          <w:tcPr>
            <w:tcW w:w="786" w:type="dxa"/>
            <w:vAlign w:val="center"/>
          </w:tcPr>
          <w:p w14:paraId="32337802">
            <w:pPr>
              <w:shd w:val="clear"/>
              <w:spacing w:line="360" w:lineRule="auto"/>
              <w:jc w:val="center"/>
              <w:rPr>
                <w:rFonts w:ascii="仿宋" w:hAnsi="仿宋" w:eastAsia="仿宋" w:cs="仿宋"/>
                <w:b/>
                <w:color w:val="auto"/>
                <w:sz w:val="24"/>
                <w:highlight w:val="none"/>
              </w:rPr>
            </w:pPr>
            <w:r>
              <w:rPr>
                <w:rFonts w:hint="eastAsia" w:ascii="仿宋" w:hAnsi="仿宋" w:eastAsia="仿宋" w:cs="仿宋"/>
                <w:b/>
                <w:color w:val="auto"/>
                <w:sz w:val="24"/>
                <w:highlight w:val="none"/>
              </w:rPr>
              <w:t>序号</w:t>
            </w:r>
          </w:p>
        </w:tc>
        <w:tc>
          <w:tcPr>
            <w:tcW w:w="1620" w:type="dxa"/>
            <w:vAlign w:val="center"/>
          </w:tcPr>
          <w:p w14:paraId="7B8FC2E8">
            <w:pPr>
              <w:shd w:val="clear"/>
              <w:spacing w:line="360" w:lineRule="auto"/>
              <w:jc w:val="center"/>
              <w:rPr>
                <w:rFonts w:ascii="仿宋" w:hAnsi="仿宋" w:eastAsia="仿宋" w:cs="仿宋"/>
                <w:b/>
                <w:color w:val="auto"/>
                <w:sz w:val="24"/>
                <w:highlight w:val="none"/>
              </w:rPr>
            </w:pPr>
            <w:r>
              <w:rPr>
                <w:rFonts w:hint="eastAsia" w:ascii="仿宋" w:hAnsi="仿宋" w:eastAsia="仿宋" w:cs="仿宋"/>
                <w:b/>
                <w:color w:val="auto"/>
                <w:sz w:val="24"/>
                <w:highlight w:val="none"/>
              </w:rPr>
              <w:t>产品名称</w:t>
            </w:r>
          </w:p>
        </w:tc>
        <w:tc>
          <w:tcPr>
            <w:tcW w:w="1260" w:type="dxa"/>
            <w:vAlign w:val="center"/>
          </w:tcPr>
          <w:p w14:paraId="55354AD9">
            <w:pPr>
              <w:shd w:val="clear"/>
              <w:spacing w:line="360" w:lineRule="auto"/>
              <w:jc w:val="center"/>
              <w:rPr>
                <w:rFonts w:ascii="仿宋" w:hAnsi="仿宋" w:eastAsia="仿宋" w:cs="仿宋"/>
                <w:b/>
                <w:color w:val="auto"/>
                <w:sz w:val="24"/>
                <w:highlight w:val="none"/>
              </w:rPr>
            </w:pPr>
            <w:r>
              <w:rPr>
                <w:rFonts w:hint="eastAsia" w:ascii="仿宋" w:hAnsi="仿宋" w:eastAsia="仿宋" w:cs="仿宋"/>
                <w:b/>
                <w:color w:val="auto"/>
                <w:sz w:val="24"/>
                <w:highlight w:val="none"/>
              </w:rPr>
              <w:t>型号</w:t>
            </w:r>
          </w:p>
        </w:tc>
        <w:tc>
          <w:tcPr>
            <w:tcW w:w="900" w:type="dxa"/>
            <w:vAlign w:val="center"/>
          </w:tcPr>
          <w:p w14:paraId="78853760">
            <w:pPr>
              <w:shd w:val="clear"/>
              <w:spacing w:line="360" w:lineRule="auto"/>
              <w:jc w:val="center"/>
              <w:rPr>
                <w:rFonts w:ascii="仿宋" w:hAnsi="仿宋" w:eastAsia="仿宋" w:cs="仿宋"/>
                <w:b/>
                <w:color w:val="auto"/>
                <w:sz w:val="24"/>
                <w:highlight w:val="none"/>
              </w:rPr>
            </w:pPr>
            <w:r>
              <w:rPr>
                <w:rFonts w:hint="eastAsia" w:ascii="仿宋" w:hAnsi="仿宋" w:eastAsia="仿宋" w:cs="仿宋"/>
                <w:b/>
                <w:color w:val="auto"/>
                <w:sz w:val="24"/>
                <w:highlight w:val="none"/>
              </w:rPr>
              <w:t>产地</w:t>
            </w:r>
          </w:p>
        </w:tc>
        <w:tc>
          <w:tcPr>
            <w:tcW w:w="900" w:type="dxa"/>
            <w:vAlign w:val="center"/>
          </w:tcPr>
          <w:p w14:paraId="29AA6832">
            <w:pPr>
              <w:shd w:val="clear"/>
              <w:spacing w:line="360" w:lineRule="auto"/>
              <w:jc w:val="center"/>
              <w:rPr>
                <w:rFonts w:ascii="仿宋" w:hAnsi="仿宋" w:eastAsia="仿宋" w:cs="仿宋"/>
                <w:b/>
                <w:color w:val="auto"/>
                <w:sz w:val="24"/>
                <w:highlight w:val="none"/>
              </w:rPr>
            </w:pPr>
            <w:r>
              <w:rPr>
                <w:rFonts w:hint="eastAsia" w:ascii="仿宋" w:hAnsi="仿宋" w:eastAsia="仿宋" w:cs="仿宋"/>
                <w:b/>
                <w:color w:val="auto"/>
                <w:sz w:val="24"/>
                <w:highlight w:val="none"/>
              </w:rPr>
              <w:t>数量</w:t>
            </w:r>
          </w:p>
        </w:tc>
        <w:tc>
          <w:tcPr>
            <w:tcW w:w="900" w:type="dxa"/>
            <w:vAlign w:val="center"/>
          </w:tcPr>
          <w:p w14:paraId="096C05A2">
            <w:pPr>
              <w:shd w:val="clear"/>
              <w:spacing w:line="360" w:lineRule="auto"/>
              <w:jc w:val="center"/>
              <w:rPr>
                <w:rFonts w:ascii="仿宋" w:hAnsi="仿宋" w:eastAsia="仿宋" w:cs="仿宋"/>
                <w:b/>
                <w:color w:val="auto"/>
                <w:sz w:val="24"/>
                <w:highlight w:val="none"/>
              </w:rPr>
            </w:pPr>
            <w:r>
              <w:rPr>
                <w:rFonts w:hint="eastAsia" w:ascii="仿宋" w:hAnsi="仿宋" w:eastAsia="仿宋" w:cs="仿宋"/>
                <w:b/>
                <w:color w:val="auto"/>
                <w:sz w:val="24"/>
                <w:highlight w:val="none"/>
              </w:rPr>
              <w:t>单价</w:t>
            </w:r>
          </w:p>
        </w:tc>
        <w:tc>
          <w:tcPr>
            <w:tcW w:w="894" w:type="dxa"/>
            <w:vAlign w:val="center"/>
          </w:tcPr>
          <w:p w14:paraId="1020C590">
            <w:pPr>
              <w:shd w:val="clear"/>
              <w:spacing w:line="360" w:lineRule="auto"/>
              <w:jc w:val="center"/>
              <w:rPr>
                <w:rFonts w:ascii="仿宋" w:hAnsi="仿宋" w:eastAsia="仿宋" w:cs="仿宋"/>
                <w:b/>
                <w:color w:val="auto"/>
                <w:sz w:val="24"/>
                <w:highlight w:val="none"/>
              </w:rPr>
            </w:pPr>
            <w:r>
              <w:rPr>
                <w:rFonts w:hint="eastAsia" w:ascii="仿宋" w:hAnsi="仿宋" w:eastAsia="仿宋" w:cs="仿宋"/>
                <w:b/>
                <w:color w:val="auto"/>
                <w:sz w:val="24"/>
                <w:highlight w:val="none"/>
              </w:rPr>
              <w:t>总价</w:t>
            </w:r>
          </w:p>
        </w:tc>
        <w:tc>
          <w:tcPr>
            <w:tcW w:w="839" w:type="dxa"/>
            <w:vAlign w:val="center"/>
          </w:tcPr>
          <w:p w14:paraId="5447D125">
            <w:pPr>
              <w:shd w:val="clear"/>
              <w:spacing w:line="360" w:lineRule="auto"/>
              <w:jc w:val="center"/>
              <w:rPr>
                <w:rFonts w:ascii="仿宋" w:hAnsi="仿宋" w:eastAsia="仿宋" w:cs="仿宋"/>
                <w:b/>
                <w:color w:val="auto"/>
                <w:sz w:val="24"/>
                <w:highlight w:val="none"/>
              </w:rPr>
            </w:pPr>
            <w:r>
              <w:rPr>
                <w:rFonts w:hint="eastAsia" w:ascii="仿宋" w:hAnsi="仿宋" w:eastAsia="仿宋" w:cs="仿宋"/>
                <w:b/>
                <w:color w:val="auto"/>
                <w:sz w:val="24"/>
                <w:highlight w:val="none"/>
              </w:rPr>
              <w:t>备注</w:t>
            </w:r>
          </w:p>
        </w:tc>
      </w:tr>
      <w:tr w14:paraId="68C3B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786" w:type="dxa"/>
            <w:vAlign w:val="center"/>
          </w:tcPr>
          <w:p w14:paraId="4DF2B4A1">
            <w:pPr>
              <w:shd w:val="clear"/>
              <w:adjustRightInd w:val="0"/>
              <w:snapToGrid w:val="0"/>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1</w:t>
            </w:r>
          </w:p>
        </w:tc>
        <w:tc>
          <w:tcPr>
            <w:tcW w:w="1620" w:type="dxa"/>
            <w:vAlign w:val="center"/>
          </w:tcPr>
          <w:p w14:paraId="730852DC">
            <w:pPr>
              <w:shd w:val="clear"/>
              <w:adjustRightInd w:val="0"/>
              <w:snapToGrid w:val="0"/>
              <w:spacing w:line="360" w:lineRule="auto"/>
              <w:jc w:val="center"/>
              <w:rPr>
                <w:rFonts w:ascii="仿宋" w:hAnsi="仿宋" w:eastAsia="仿宋" w:cs="仿宋"/>
                <w:color w:val="auto"/>
                <w:sz w:val="24"/>
                <w:highlight w:val="none"/>
              </w:rPr>
            </w:pPr>
          </w:p>
        </w:tc>
        <w:tc>
          <w:tcPr>
            <w:tcW w:w="1260" w:type="dxa"/>
            <w:vAlign w:val="center"/>
          </w:tcPr>
          <w:p w14:paraId="215FC1FA">
            <w:pPr>
              <w:shd w:val="clear"/>
              <w:spacing w:line="360" w:lineRule="auto"/>
              <w:jc w:val="center"/>
              <w:rPr>
                <w:rFonts w:ascii="仿宋" w:hAnsi="仿宋" w:eastAsia="仿宋" w:cs="仿宋"/>
                <w:color w:val="auto"/>
                <w:sz w:val="24"/>
                <w:highlight w:val="none"/>
              </w:rPr>
            </w:pPr>
          </w:p>
        </w:tc>
        <w:tc>
          <w:tcPr>
            <w:tcW w:w="900" w:type="dxa"/>
            <w:vAlign w:val="center"/>
          </w:tcPr>
          <w:p w14:paraId="71A157A1">
            <w:pPr>
              <w:shd w:val="clear"/>
              <w:spacing w:line="360" w:lineRule="auto"/>
              <w:jc w:val="center"/>
              <w:rPr>
                <w:rFonts w:ascii="仿宋" w:hAnsi="仿宋" w:eastAsia="仿宋" w:cs="仿宋"/>
                <w:color w:val="auto"/>
                <w:sz w:val="24"/>
                <w:highlight w:val="none"/>
              </w:rPr>
            </w:pPr>
          </w:p>
        </w:tc>
        <w:tc>
          <w:tcPr>
            <w:tcW w:w="900" w:type="dxa"/>
            <w:vAlign w:val="center"/>
          </w:tcPr>
          <w:p w14:paraId="55ABA416">
            <w:pPr>
              <w:shd w:val="clear"/>
              <w:adjustRightInd w:val="0"/>
              <w:snapToGrid w:val="0"/>
              <w:spacing w:line="360" w:lineRule="auto"/>
              <w:jc w:val="center"/>
              <w:rPr>
                <w:rFonts w:ascii="仿宋" w:hAnsi="仿宋" w:eastAsia="仿宋" w:cs="仿宋"/>
                <w:color w:val="auto"/>
                <w:sz w:val="24"/>
                <w:highlight w:val="none"/>
              </w:rPr>
            </w:pPr>
          </w:p>
        </w:tc>
        <w:tc>
          <w:tcPr>
            <w:tcW w:w="900" w:type="dxa"/>
            <w:vAlign w:val="center"/>
          </w:tcPr>
          <w:p w14:paraId="34C2CFB6">
            <w:pPr>
              <w:shd w:val="clear"/>
              <w:autoSpaceDN w:val="0"/>
              <w:spacing w:line="360" w:lineRule="auto"/>
              <w:jc w:val="center"/>
              <w:textAlignment w:val="center"/>
              <w:rPr>
                <w:rFonts w:ascii="仿宋" w:hAnsi="仿宋" w:eastAsia="仿宋" w:cs="仿宋"/>
                <w:color w:val="auto"/>
                <w:sz w:val="24"/>
                <w:highlight w:val="none"/>
              </w:rPr>
            </w:pPr>
          </w:p>
        </w:tc>
        <w:tc>
          <w:tcPr>
            <w:tcW w:w="894" w:type="dxa"/>
            <w:vAlign w:val="center"/>
          </w:tcPr>
          <w:p w14:paraId="30A74C4A">
            <w:pPr>
              <w:shd w:val="clear"/>
              <w:autoSpaceDN w:val="0"/>
              <w:spacing w:line="360" w:lineRule="auto"/>
              <w:jc w:val="center"/>
              <w:textAlignment w:val="center"/>
              <w:rPr>
                <w:rFonts w:ascii="仿宋" w:hAnsi="仿宋" w:eastAsia="仿宋" w:cs="仿宋"/>
                <w:color w:val="auto"/>
                <w:sz w:val="24"/>
                <w:highlight w:val="none"/>
              </w:rPr>
            </w:pPr>
          </w:p>
        </w:tc>
        <w:tc>
          <w:tcPr>
            <w:tcW w:w="839" w:type="dxa"/>
            <w:vAlign w:val="center"/>
          </w:tcPr>
          <w:p w14:paraId="1D267E30">
            <w:pPr>
              <w:shd w:val="clear"/>
              <w:autoSpaceDN w:val="0"/>
              <w:spacing w:line="360" w:lineRule="auto"/>
              <w:jc w:val="center"/>
              <w:textAlignment w:val="center"/>
              <w:rPr>
                <w:rFonts w:ascii="仿宋" w:hAnsi="仿宋" w:eastAsia="仿宋" w:cs="仿宋"/>
                <w:color w:val="auto"/>
                <w:sz w:val="24"/>
                <w:highlight w:val="none"/>
              </w:rPr>
            </w:pPr>
          </w:p>
        </w:tc>
      </w:tr>
      <w:tr w14:paraId="00F52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786" w:type="dxa"/>
            <w:vAlign w:val="center"/>
          </w:tcPr>
          <w:p w14:paraId="38A86057">
            <w:pPr>
              <w:shd w:val="clear"/>
              <w:adjustRightInd w:val="0"/>
              <w:snapToGrid w:val="0"/>
              <w:spacing w:line="360" w:lineRule="auto"/>
              <w:jc w:val="center"/>
              <w:rPr>
                <w:rFonts w:ascii="仿宋" w:hAnsi="仿宋" w:eastAsia="仿宋" w:cs="仿宋"/>
                <w:color w:val="auto"/>
                <w:sz w:val="24"/>
                <w:highlight w:val="none"/>
              </w:rPr>
            </w:pPr>
          </w:p>
        </w:tc>
        <w:tc>
          <w:tcPr>
            <w:tcW w:w="1620" w:type="dxa"/>
            <w:vAlign w:val="center"/>
          </w:tcPr>
          <w:p w14:paraId="2E84BBE1">
            <w:pPr>
              <w:shd w:val="clear"/>
              <w:adjustRightInd w:val="0"/>
              <w:snapToGrid w:val="0"/>
              <w:spacing w:line="360" w:lineRule="auto"/>
              <w:jc w:val="center"/>
              <w:rPr>
                <w:rFonts w:ascii="仿宋" w:hAnsi="仿宋" w:eastAsia="仿宋" w:cs="仿宋"/>
                <w:color w:val="auto"/>
                <w:sz w:val="24"/>
                <w:highlight w:val="none"/>
              </w:rPr>
            </w:pPr>
          </w:p>
        </w:tc>
        <w:tc>
          <w:tcPr>
            <w:tcW w:w="1260" w:type="dxa"/>
            <w:vAlign w:val="center"/>
          </w:tcPr>
          <w:p w14:paraId="35286B26">
            <w:pPr>
              <w:shd w:val="clear"/>
              <w:spacing w:line="360" w:lineRule="auto"/>
              <w:jc w:val="center"/>
              <w:rPr>
                <w:rFonts w:ascii="仿宋" w:hAnsi="仿宋" w:eastAsia="仿宋" w:cs="仿宋"/>
                <w:color w:val="auto"/>
                <w:sz w:val="24"/>
                <w:highlight w:val="none"/>
              </w:rPr>
            </w:pPr>
          </w:p>
        </w:tc>
        <w:tc>
          <w:tcPr>
            <w:tcW w:w="900" w:type="dxa"/>
            <w:vAlign w:val="center"/>
          </w:tcPr>
          <w:p w14:paraId="6AA3646C">
            <w:pPr>
              <w:shd w:val="clear"/>
              <w:spacing w:line="360" w:lineRule="auto"/>
              <w:jc w:val="center"/>
              <w:rPr>
                <w:rFonts w:ascii="仿宋" w:hAnsi="仿宋" w:eastAsia="仿宋" w:cs="仿宋"/>
                <w:color w:val="auto"/>
                <w:sz w:val="24"/>
                <w:highlight w:val="none"/>
              </w:rPr>
            </w:pPr>
          </w:p>
        </w:tc>
        <w:tc>
          <w:tcPr>
            <w:tcW w:w="900" w:type="dxa"/>
            <w:vAlign w:val="center"/>
          </w:tcPr>
          <w:p w14:paraId="1950785A">
            <w:pPr>
              <w:shd w:val="clear"/>
              <w:adjustRightInd w:val="0"/>
              <w:snapToGrid w:val="0"/>
              <w:spacing w:line="360" w:lineRule="auto"/>
              <w:jc w:val="center"/>
              <w:rPr>
                <w:rFonts w:ascii="仿宋" w:hAnsi="仿宋" w:eastAsia="仿宋" w:cs="仿宋"/>
                <w:color w:val="auto"/>
                <w:sz w:val="24"/>
                <w:highlight w:val="none"/>
              </w:rPr>
            </w:pPr>
          </w:p>
        </w:tc>
        <w:tc>
          <w:tcPr>
            <w:tcW w:w="900" w:type="dxa"/>
            <w:vAlign w:val="center"/>
          </w:tcPr>
          <w:p w14:paraId="3F25C480">
            <w:pPr>
              <w:shd w:val="clear"/>
              <w:autoSpaceDN w:val="0"/>
              <w:spacing w:line="360" w:lineRule="auto"/>
              <w:jc w:val="center"/>
              <w:textAlignment w:val="center"/>
              <w:rPr>
                <w:rFonts w:ascii="仿宋" w:hAnsi="仿宋" w:eastAsia="仿宋" w:cs="仿宋"/>
                <w:color w:val="auto"/>
                <w:sz w:val="24"/>
                <w:highlight w:val="none"/>
              </w:rPr>
            </w:pPr>
          </w:p>
        </w:tc>
        <w:tc>
          <w:tcPr>
            <w:tcW w:w="894" w:type="dxa"/>
            <w:vAlign w:val="center"/>
          </w:tcPr>
          <w:p w14:paraId="26F037FF">
            <w:pPr>
              <w:shd w:val="clear"/>
              <w:autoSpaceDN w:val="0"/>
              <w:spacing w:line="360" w:lineRule="auto"/>
              <w:jc w:val="center"/>
              <w:textAlignment w:val="center"/>
              <w:rPr>
                <w:rFonts w:ascii="仿宋" w:hAnsi="仿宋" w:eastAsia="仿宋" w:cs="仿宋"/>
                <w:color w:val="auto"/>
                <w:sz w:val="24"/>
                <w:highlight w:val="none"/>
              </w:rPr>
            </w:pPr>
          </w:p>
        </w:tc>
        <w:tc>
          <w:tcPr>
            <w:tcW w:w="839" w:type="dxa"/>
            <w:vAlign w:val="center"/>
          </w:tcPr>
          <w:p w14:paraId="68A0EEC7">
            <w:pPr>
              <w:shd w:val="clear"/>
              <w:autoSpaceDN w:val="0"/>
              <w:spacing w:line="360" w:lineRule="auto"/>
              <w:jc w:val="center"/>
              <w:textAlignment w:val="center"/>
              <w:rPr>
                <w:rFonts w:ascii="仿宋" w:hAnsi="仿宋" w:eastAsia="仿宋" w:cs="仿宋"/>
                <w:color w:val="auto"/>
                <w:sz w:val="24"/>
                <w:highlight w:val="none"/>
              </w:rPr>
            </w:pPr>
          </w:p>
        </w:tc>
      </w:tr>
      <w:tr w14:paraId="5D00D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786" w:type="dxa"/>
            <w:vAlign w:val="center"/>
          </w:tcPr>
          <w:p w14:paraId="586D358A">
            <w:pPr>
              <w:shd w:val="clear"/>
              <w:adjustRightInd w:val="0"/>
              <w:snapToGrid w:val="0"/>
              <w:spacing w:line="360" w:lineRule="auto"/>
              <w:jc w:val="center"/>
              <w:rPr>
                <w:rFonts w:ascii="仿宋" w:hAnsi="仿宋" w:eastAsia="仿宋" w:cs="仿宋"/>
                <w:color w:val="auto"/>
                <w:sz w:val="24"/>
                <w:highlight w:val="none"/>
              </w:rPr>
            </w:pPr>
          </w:p>
        </w:tc>
        <w:tc>
          <w:tcPr>
            <w:tcW w:w="1620" w:type="dxa"/>
            <w:vAlign w:val="center"/>
          </w:tcPr>
          <w:p w14:paraId="70ABC752">
            <w:pPr>
              <w:shd w:val="clear"/>
              <w:adjustRightInd w:val="0"/>
              <w:snapToGrid w:val="0"/>
              <w:spacing w:line="360" w:lineRule="auto"/>
              <w:jc w:val="center"/>
              <w:rPr>
                <w:rFonts w:ascii="仿宋" w:hAnsi="仿宋" w:eastAsia="仿宋" w:cs="仿宋"/>
                <w:color w:val="auto"/>
                <w:sz w:val="24"/>
                <w:highlight w:val="none"/>
              </w:rPr>
            </w:pPr>
          </w:p>
        </w:tc>
        <w:tc>
          <w:tcPr>
            <w:tcW w:w="1260" w:type="dxa"/>
            <w:vAlign w:val="center"/>
          </w:tcPr>
          <w:p w14:paraId="090A9871">
            <w:pPr>
              <w:shd w:val="clear"/>
              <w:spacing w:line="360" w:lineRule="auto"/>
              <w:jc w:val="center"/>
              <w:rPr>
                <w:rFonts w:ascii="仿宋" w:hAnsi="仿宋" w:eastAsia="仿宋" w:cs="仿宋"/>
                <w:color w:val="auto"/>
                <w:sz w:val="24"/>
                <w:highlight w:val="none"/>
              </w:rPr>
            </w:pPr>
          </w:p>
        </w:tc>
        <w:tc>
          <w:tcPr>
            <w:tcW w:w="900" w:type="dxa"/>
            <w:vAlign w:val="center"/>
          </w:tcPr>
          <w:p w14:paraId="7686E011">
            <w:pPr>
              <w:shd w:val="clear"/>
              <w:spacing w:line="360" w:lineRule="auto"/>
              <w:jc w:val="center"/>
              <w:rPr>
                <w:rFonts w:ascii="仿宋" w:hAnsi="仿宋" w:eastAsia="仿宋" w:cs="仿宋"/>
                <w:color w:val="auto"/>
                <w:sz w:val="24"/>
                <w:highlight w:val="none"/>
              </w:rPr>
            </w:pPr>
          </w:p>
        </w:tc>
        <w:tc>
          <w:tcPr>
            <w:tcW w:w="900" w:type="dxa"/>
            <w:vAlign w:val="center"/>
          </w:tcPr>
          <w:p w14:paraId="2F4EF525">
            <w:pPr>
              <w:shd w:val="clear"/>
              <w:adjustRightInd w:val="0"/>
              <w:snapToGrid w:val="0"/>
              <w:spacing w:line="360" w:lineRule="auto"/>
              <w:jc w:val="center"/>
              <w:rPr>
                <w:rFonts w:ascii="仿宋" w:hAnsi="仿宋" w:eastAsia="仿宋" w:cs="仿宋"/>
                <w:color w:val="auto"/>
                <w:sz w:val="24"/>
                <w:highlight w:val="none"/>
              </w:rPr>
            </w:pPr>
          </w:p>
        </w:tc>
        <w:tc>
          <w:tcPr>
            <w:tcW w:w="900" w:type="dxa"/>
            <w:vAlign w:val="center"/>
          </w:tcPr>
          <w:p w14:paraId="031F67C8">
            <w:pPr>
              <w:shd w:val="clear"/>
              <w:autoSpaceDN w:val="0"/>
              <w:spacing w:line="360" w:lineRule="auto"/>
              <w:jc w:val="center"/>
              <w:textAlignment w:val="center"/>
              <w:rPr>
                <w:rFonts w:ascii="仿宋" w:hAnsi="仿宋" w:eastAsia="仿宋" w:cs="仿宋"/>
                <w:color w:val="auto"/>
                <w:sz w:val="24"/>
                <w:highlight w:val="none"/>
              </w:rPr>
            </w:pPr>
          </w:p>
        </w:tc>
        <w:tc>
          <w:tcPr>
            <w:tcW w:w="894" w:type="dxa"/>
            <w:vAlign w:val="center"/>
          </w:tcPr>
          <w:p w14:paraId="66DD273D">
            <w:pPr>
              <w:shd w:val="clear"/>
              <w:autoSpaceDN w:val="0"/>
              <w:spacing w:line="360" w:lineRule="auto"/>
              <w:jc w:val="center"/>
              <w:textAlignment w:val="center"/>
              <w:rPr>
                <w:rFonts w:ascii="仿宋" w:hAnsi="仿宋" w:eastAsia="仿宋" w:cs="仿宋"/>
                <w:color w:val="auto"/>
                <w:sz w:val="24"/>
                <w:highlight w:val="none"/>
              </w:rPr>
            </w:pPr>
          </w:p>
        </w:tc>
        <w:tc>
          <w:tcPr>
            <w:tcW w:w="839" w:type="dxa"/>
            <w:vAlign w:val="center"/>
          </w:tcPr>
          <w:p w14:paraId="4D374938">
            <w:pPr>
              <w:shd w:val="clear"/>
              <w:autoSpaceDN w:val="0"/>
              <w:spacing w:line="360" w:lineRule="auto"/>
              <w:jc w:val="center"/>
              <w:textAlignment w:val="center"/>
              <w:rPr>
                <w:rFonts w:ascii="仿宋" w:hAnsi="仿宋" w:eastAsia="仿宋" w:cs="仿宋"/>
                <w:color w:val="auto"/>
                <w:sz w:val="24"/>
                <w:highlight w:val="none"/>
              </w:rPr>
            </w:pPr>
          </w:p>
        </w:tc>
      </w:tr>
      <w:tr w14:paraId="1289B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2406" w:type="dxa"/>
            <w:gridSpan w:val="2"/>
            <w:vAlign w:val="center"/>
          </w:tcPr>
          <w:p w14:paraId="04211329">
            <w:pPr>
              <w:shd w:val="clear"/>
              <w:adjustRightInd w:val="0"/>
              <w:snapToGrid w:val="0"/>
              <w:spacing w:line="360" w:lineRule="auto"/>
              <w:jc w:val="center"/>
              <w:rPr>
                <w:rFonts w:ascii="仿宋" w:hAnsi="仿宋" w:eastAsia="仿宋" w:cs="仿宋"/>
                <w:b/>
                <w:color w:val="auto"/>
                <w:sz w:val="24"/>
                <w:highlight w:val="none"/>
              </w:rPr>
            </w:pPr>
            <w:r>
              <w:rPr>
                <w:rFonts w:hint="eastAsia" w:ascii="仿宋" w:hAnsi="仿宋" w:eastAsia="仿宋" w:cs="仿宋"/>
                <w:b/>
                <w:color w:val="auto"/>
                <w:sz w:val="24"/>
                <w:highlight w:val="none"/>
              </w:rPr>
              <w:t>总计（人民币/元）</w:t>
            </w:r>
          </w:p>
        </w:tc>
        <w:tc>
          <w:tcPr>
            <w:tcW w:w="5693" w:type="dxa"/>
            <w:gridSpan w:val="6"/>
            <w:vAlign w:val="center"/>
          </w:tcPr>
          <w:p w14:paraId="03E8BC3A">
            <w:pPr>
              <w:shd w:val="clear"/>
              <w:adjustRightInd w:val="0"/>
              <w:snapToGrid w:val="0"/>
              <w:spacing w:line="360" w:lineRule="auto"/>
              <w:rPr>
                <w:rFonts w:ascii="仿宋" w:hAnsi="仿宋" w:eastAsia="仿宋" w:cs="仿宋"/>
                <w:b/>
                <w:color w:val="auto"/>
                <w:sz w:val="24"/>
                <w:highlight w:val="none"/>
              </w:rPr>
            </w:pPr>
            <w:r>
              <w:rPr>
                <w:rFonts w:hint="eastAsia" w:ascii="仿宋" w:hAnsi="仿宋" w:eastAsia="仿宋" w:cs="仿宋"/>
                <w:b/>
                <w:color w:val="auto"/>
                <w:sz w:val="24"/>
                <w:highlight w:val="none"/>
              </w:rPr>
              <w:t>¥：       （大写）</w:t>
            </w:r>
          </w:p>
        </w:tc>
      </w:tr>
    </w:tbl>
    <w:p w14:paraId="482F920E">
      <w:pPr>
        <w:shd w:val="clear"/>
        <w:kinsoku w:val="0"/>
        <w:spacing w:line="360" w:lineRule="auto"/>
        <w:ind w:firstLine="600" w:firstLineChars="250"/>
        <w:rPr>
          <w:rFonts w:ascii="仿宋" w:hAnsi="仿宋" w:eastAsia="仿宋" w:cs="仿宋"/>
          <w:color w:val="auto"/>
          <w:sz w:val="24"/>
          <w:highlight w:val="none"/>
        </w:rPr>
      </w:pPr>
      <w:r>
        <w:rPr>
          <w:rFonts w:hint="eastAsia" w:ascii="仿宋" w:hAnsi="仿宋" w:eastAsia="仿宋" w:cs="仿宋"/>
          <w:color w:val="auto"/>
          <w:sz w:val="24"/>
          <w:highlight w:val="none"/>
        </w:rPr>
        <w:t>（参数较多可以附件说明）</w:t>
      </w:r>
    </w:p>
    <w:p w14:paraId="640307F0">
      <w:pPr>
        <w:shd w:val="clear"/>
        <w:kinsoku w:val="0"/>
        <w:spacing w:line="360" w:lineRule="auto"/>
        <w:ind w:firstLine="600" w:firstLineChars="250"/>
        <w:rPr>
          <w:rFonts w:ascii="仿宋" w:hAnsi="仿宋" w:eastAsia="仿宋" w:cs="仿宋"/>
          <w:color w:val="auto"/>
          <w:sz w:val="24"/>
          <w:highlight w:val="none"/>
        </w:rPr>
      </w:pPr>
      <w:r>
        <w:rPr>
          <w:rFonts w:hint="eastAsia" w:ascii="仿宋" w:hAnsi="仿宋" w:eastAsia="仿宋" w:cs="仿宋"/>
          <w:color w:val="auto"/>
          <w:sz w:val="24"/>
          <w:highlight w:val="none"/>
        </w:rPr>
        <w:t>乙方负责按以上确定的产品规格、型号及配套内容进行供货，及时运到甲方指定交货地点安装调试，确保所有产品达到最佳运行状态，负责对甲方操作、维护人员进行培训，指导操作、使用和维修保养，做好售后服务工作。</w:t>
      </w:r>
    </w:p>
    <w:p w14:paraId="63546EC2">
      <w:pPr>
        <w:shd w:val="clear"/>
        <w:spacing w:line="360" w:lineRule="auto"/>
        <w:ind w:firstLine="482" w:firstLineChars="200"/>
        <w:rPr>
          <w:rFonts w:ascii="仿宋" w:hAnsi="仿宋" w:eastAsia="仿宋" w:cs="仿宋"/>
          <w:b/>
          <w:color w:val="auto"/>
          <w:sz w:val="24"/>
          <w:highlight w:val="none"/>
        </w:rPr>
      </w:pPr>
      <w:r>
        <w:rPr>
          <w:rFonts w:hint="eastAsia" w:ascii="仿宋" w:hAnsi="仿宋" w:eastAsia="仿宋" w:cs="仿宋"/>
          <w:b/>
          <w:color w:val="auto"/>
          <w:sz w:val="24"/>
          <w:highlight w:val="none"/>
        </w:rPr>
        <w:t>二、合同价格</w:t>
      </w:r>
    </w:p>
    <w:p w14:paraId="3929E9E2">
      <w:pPr>
        <w:shd w:val="clear"/>
        <w:kinsoku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合同总价：人民币大写：</w:t>
      </w:r>
      <w:r>
        <w:rPr>
          <w:rFonts w:hint="eastAsia" w:ascii="仿宋" w:hAnsi="仿宋" w:eastAsia="仿宋" w:cs="仿宋"/>
          <w:color w:val="auto"/>
          <w:sz w:val="24"/>
          <w:highlight w:val="none"/>
          <w:u w:val="single"/>
        </w:rPr>
        <w:t xml:space="preserve">       </w:t>
      </w:r>
      <w:r>
        <w:rPr>
          <w:rFonts w:hint="eastAsia" w:ascii="仿宋" w:hAnsi="仿宋" w:eastAsia="仿宋" w:cs="仿宋"/>
          <w:b/>
          <w:color w:val="auto"/>
          <w:sz w:val="24"/>
          <w:highlight w:val="none"/>
        </w:rPr>
        <w:t>元整；¥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元。</w:t>
      </w:r>
    </w:p>
    <w:p w14:paraId="17FE620A">
      <w:pPr>
        <w:shd w:val="clear"/>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合同总价包括：产品的供应费及所发生的运输费、杂费（含保险）、商检费、搬运费、安装调试费、培训费等，包括从产品供应地点到交货地点所包含的一切费用。合同总价不可变更，不受市场价变化的影响，不受实际数量变化的影响。</w:t>
      </w:r>
    </w:p>
    <w:p w14:paraId="1503D26E">
      <w:pPr>
        <w:shd w:val="clear"/>
        <w:spacing w:line="360" w:lineRule="auto"/>
        <w:ind w:firstLine="482" w:firstLineChars="200"/>
        <w:rPr>
          <w:rFonts w:ascii="仿宋" w:hAnsi="仿宋" w:eastAsia="仿宋" w:cs="仿宋"/>
          <w:b/>
          <w:color w:val="auto"/>
          <w:sz w:val="24"/>
          <w:highlight w:val="none"/>
        </w:rPr>
      </w:pPr>
      <w:r>
        <w:rPr>
          <w:rFonts w:hint="eastAsia" w:ascii="仿宋" w:hAnsi="仿宋" w:eastAsia="仿宋" w:cs="仿宋"/>
          <w:b/>
          <w:color w:val="auto"/>
          <w:sz w:val="24"/>
          <w:highlight w:val="none"/>
        </w:rPr>
        <w:t>三、款项支付</w:t>
      </w:r>
    </w:p>
    <w:p w14:paraId="55869833">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①货物到场后，安装调试完成，达到付款条件起 20 日内，支付合同总金额的80%；</w:t>
      </w:r>
    </w:p>
    <w:p w14:paraId="004F4FE1">
      <w:pPr>
        <w:shd w:val="clear"/>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②培训完毕，系统试运行正常，最终验收合格后，乙方持《终验合格单》原件和全额发票（开具增值税专用发票）在甲方处办理百分之百（100%）的合同款支付手续，达到付款条件起 20 日内，支付合同总金额的20.00%。</w:t>
      </w:r>
    </w:p>
    <w:p w14:paraId="4DA9A218">
      <w:pPr>
        <w:shd w:val="clear"/>
        <w:spacing w:line="360" w:lineRule="auto"/>
        <w:ind w:firstLine="482" w:firstLineChars="200"/>
        <w:rPr>
          <w:rFonts w:ascii="仿宋" w:hAnsi="仿宋" w:eastAsia="仿宋" w:cs="仿宋"/>
          <w:b/>
          <w:color w:val="auto"/>
          <w:sz w:val="24"/>
          <w:highlight w:val="none"/>
        </w:rPr>
      </w:pPr>
      <w:r>
        <w:rPr>
          <w:rFonts w:hint="eastAsia" w:ascii="仿宋" w:hAnsi="仿宋" w:eastAsia="仿宋" w:cs="仿宋"/>
          <w:b/>
          <w:color w:val="auto"/>
          <w:sz w:val="24"/>
          <w:highlight w:val="none"/>
        </w:rPr>
        <w:t>四、完工条件</w:t>
      </w:r>
    </w:p>
    <w:p w14:paraId="7FBC5B8A">
      <w:pPr>
        <w:shd w:val="clear"/>
        <w:kinsoku w:val="0"/>
        <w:spacing w:line="360" w:lineRule="auto"/>
        <w:ind w:firstLine="600" w:firstLineChars="250"/>
        <w:rPr>
          <w:rFonts w:ascii="仿宋" w:hAnsi="仿宋" w:eastAsia="仿宋" w:cs="仿宋"/>
          <w:color w:val="auto"/>
          <w:sz w:val="24"/>
          <w:highlight w:val="none"/>
        </w:rPr>
      </w:pPr>
      <w:r>
        <w:rPr>
          <w:rFonts w:hint="eastAsia" w:ascii="仿宋" w:hAnsi="仿宋" w:eastAsia="仿宋" w:cs="仿宋"/>
          <w:color w:val="auto"/>
          <w:sz w:val="24"/>
          <w:highlight w:val="none"/>
        </w:rPr>
        <w:t>1、项目实施地点：陕西铁路工程职业技术学院指定地点。</w:t>
      </w:r>
    </w:p>
    <w:p w14:paraId="7810C1C1">
      <w:pPr>
        <w:shd w:val="clear"/>
        <w:kinsoku w:val="0"/>
        <w:spacing w:line="360" w:lineRule="auto"/>
        <w:ind w:firstLine="600" w:firstLineChars="250"/>
        <w:rPr>
          <w:rFonts w:ascii="仿宋" w:hAnsi="仿宋" w:eastAsia="仿宋" w:cs="仿宋"/>
          <w:color w:val="auto"/>
          <w:sz w:val="24"/>
          <w:highlight w:val="none"/>
        </w:rPr>
      </w:pPr>
      <w:r>
        <w:rPr>
          <w:rFonts w:hint="eastAsia" w:ascii="仿宋" w:hAnsi="仿宋" w:eastAsia="仿宋" w:cs="仿宋"/>
          <w:color w:val="auto"/>
          <w:sz w:val="24"/>
          <w:highlight w:val="none"/>
        </w:rPr>
        <w:t>2、完工日期：合同签订后60个日历日。</w:t>
      </w:r>
    </w:p>
    <w:p w14:paraId="35E5F66F">
      <w:pPr>
        <w:shd w:val="clear"/>
        <w:kinsoku w:val="0"/>
        <w:spacing w:line="360" w:lineRule="auto"/>
        <w:ind w:firstLine="600" w:firstLineChars="250"/>
        <w:rPr>
          <w:rFonts w:ascii="仿宋" w:hAnsi="仿宋" w:eastAsia="仿宋" w:cs="仿宋"/>
          <w:color w:val="auto"/>
          <w:sz w:val="24"/>
          <w:highlight w:val="none"/>
        </w:rPr>
      </w:pPr>
      <w:r>
        <w:rPr>
          <w:rFonts w:hint="eastAsia" w:ascii="仿宋" w:hAnsi="仿宋" w:eastAsia="仿宋" w:cs="仿宋"/>
          <w:color w:val="auto"/>
          <w:sz w:val="24"/>
          <w:highlight w:val="none"/>
        </w:rPr>
        <w:t>交付条件：设备完整、参数满足、运行正常、提供培训。</w:t>
      </w:r>
    </w:p>
    <w:p w14:paraId="522BDAC3">
      <w:pPr>
        <w:pStyle w:val="2"/>
        <w:shd w:val="clear"/>
        <w:spacing w:line="360" w:lineRule="auto"/>
        <w:ind w:firstLine="480"/>
        <w:rPr>
          <w:rFonts w:ascii="仿宋" w:hAnsi="仿宋" w:eastAsia="仿宋" w:cs="仿宋"/>
          <w:b/>
          <w:color w:val="auto"/>
          <w:sz w:val="24"/>
          <w:highlight w:val="none"/>
        </w:rPr>
      </w:pPr>
      <w:r>
        <w:rPr>
          <w:rFonts w:hint="eastAsia" w:ascii="仿宋" w:hAnsi="仿宋" w:eastAsia="仿宋" w:cs="仿宋"/>
          <w:b/>
          <w:color w:val="auto"/>
          <w:sz w:val="24"/>
          <w:highlight w:val="none"/>
        </w:rPr>
        <w:t>五、运输方式：</w:t>
      </w:r>
      <w:r>
        <w:rPr>
          <w:rFonts w:hint="eastAsia" w:ascii="仿宋" w:hAnsi="仿宋" w:eastAsia="仿宋" w:cs="仿宋"/>
          <w:color w:val="auto"/>
          <w:sz w:val="24"/>
          <w:highlight w:val="none"/>
        </w:rPr>
        <w:t>货物采用常规防尘包装运输。根据产品特性，由乙方在保证产品质量的前提下，自行选择运输及包装方式，发生的一切费用全部由乙方承担。</w:t>
      </w:r>
    </w:p>
    <w:p w14:paraId="77744DE4">
      <w:pPr>
        <w:shd w:val="clear"/>
        <w:spacing w:line="360" w:lineRule="auto"/>
        <w:ind w:firstLine="482" w:firstLineChars="200"/>
        <w:rPr>
          <w:rFonts w:ascii="仿宋" w:hAnsi="仿宋" w:eastAsia="仿宋" w:cs="仿宋"/>
          <w:color w:val="auto"/>
          <w:sz w:val="24"/>
          <w:highlight w:val="none"/>
        </w:rPr>
      </w:pPr>
      <w:r>
        <w:rPr>
          <w:rFonts w:hint="eastAsia" w:ascii="仿宋" w:hAnsi="仿宋" w:eastAsia="仿宋" w:cs="仿宋"/>
          <w:b/>
          <w:color w:val="auto"/>
          <w:sz w:val="24"/>
          <w:highlight w:val="none"/>
        </w:rPr>
        <w:t>六、质量保证</w:t>
      </w:r>
    </w:p>
    <w:p w14:paraId="43DD28FA">
      <w:pPr>
        <w:shd w:val="clear"/>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1、需配备交付培训及</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年质保</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年免费升级，质保期外应当以最优惠的价格提供续保或维护服务</w:t>
      </w:r>
    </w:p>
    <w:p w14:paraId="1679D01F">
      <w:pPr>
        <w:shd w:val="clea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2、乙方保证所提供的产品质量可靠，进货渠道正常，配置合理，技术性能满足招标文件要求；</w:t>
      </w:r>
    </w:p>
    <w:p w14:paraId="5A31EBCF">
      <w:pPr>
        <w:shd w:val="clea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3、若产品所用原材料或加工工艺造成的质量和内外观缺陷问题，由乙方负责解决并承担费用。（乙方保证货物是全新的、未曾使用过的、以优质工艺及材料制造，并保证所供产品的完整性，本合同产品为成套供货，合同总价中已包括满足产品完整运行的附件，备件，配套件等，产品质量应符合国标标准和本合同附件的要求,乙方应随机提供产品检验报告。）</w:t>
      </w:r>
    </w:p>
    <w:p w14:paraId="48304708">
      <w:pPr>
        <w:shd w:val="clear"/>
        <w:adjustRightInd w:val="0"/>
        <w:snapToGrid w:val="0"/>
        <w:spacing w:line="360" w:lineRule="auto"/>
        <w:ind w:firstLine="600" w:firstLineChars="250"/>
        <w:rPr>
          <w:rFonts w:ascii="仿宋" w:hAnsi="仿宋" w:eastAsia="仿宋" w:cs="仿宋"/>
          <w:color w:val="auto"/>
          <w:sz w:val="24"/>
          <w:highlight w:val="none"/>
        </w:rPr>
      </w:pPr>
      <w:r>
        <w:rPr>
          <w:rFonts w:hint="eastAsia" w:ascii="仿宋" w:hAnsi="仿宋" w:eastAsia="仿宋" w:cs="仿宋"/>
          <w:color w:val="auto"/>
          <w:sz w:val="24"/>
          <w:highlight w:val="none"/>
        </w:rPr>
        <w:t>4、产品的质保期为产品</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月质保期内若发生产品质量问题，乙方应立即免费解决；超过质保期的，按照厂家承诺进行。</w:t>
      </w:r>
    </w:p>
    <w:p w14:paraId="7F21C7C8">
      <w:pPr>
        <w:shd w:val="clear"/>
        <w:adjustRightInd w:val="0"/>
        <w:snapToGrid w:val="0"/>
        <w:spacing w:line="360" w:lineRule="auto"/>
        <w:ind w:firstLine="600" w:firstLineChars="250"/>
        <w:rPr>
          <w:rFonts w:ascii="仿宋" w:hAnsi="仿宋" w:eastAsia="仿宋" w:cs="仿宋"/>
          <w:bCs/>
          <w:color w:val="auto"/>
          <w:sz w:val="24"/>
          <w:highlight w:val="none"/>
        </w:rPr>
      </w:pPr>
      <w:r>
        <w:rPr>
          <w:rFonts w:hint="eastAsia" w:ascii="仿宋" w:hAnsi="仿宋" w:eastAsia="仿宋" w:cs="仿宋"/>
          <w:color w:val="auto"/>
          <w:sz w:val="24"/>
          <w:highlight w:val="none"/>
        </w:rPr>
        <w:t>5、产品</w:t>
      </w:r>
      <w:r>
        <w:rPr>
          <w:rFonts w:hint="eastAsia" w:ascii="仿宋" w:hAnsi="仿宋" w:eastAsia="仿宋" w:cs="仿宋"/>
          <w:bCs/>
          <w:color w:val="auto"/>
          <w:sz w:val="24"/>
          <w:highlight w:val="none"/>
        </w:rPr>
        <w:t>性能未达到技术要求的，乙方限期内进行整改；整改仍达不到要求的，甲方有权解除合同，保留依法索赔的权利。</w:t>
      </w:r>
    </w:p>
    <w:p w14:paraId="4DFA479B">
      <w:pPr>
        <w:shd w:val="clear"/>
        <w:adjustRightInd w:val="0"/>
        <w:snapToGrid w:val="0"/>
        <w:spacing w:line="360" w:lineRule="auto"/>
        <w:ind w:firstLine="600" w:firstLineChars="250"/>
        <w:rPr>
          <w:rFonts w:ascii="仿宋" w:hAnsi="仿宋" w:eastAsia="仿宋" w:cs="仿宋"/>
          <w:color w:val="auto"/>
          <w:sz w:val="24"/>
          <w:highlight w:val="none"/>
        </w:rPr>
      </w:pPr>
      <w:r>
        <w:rPr>
          <w:rFonts w:hint="eastAsia" w:ascii="仿宋" w:hAnsi="仿宋" w:eastAsia="仿宋" w:cs="仿宋"/>
          <w:bCs/>
          <w:color w:val="auto"/>
          <w:sz w:val="24"/>
          <w:highlight w:val="none"/>
        </w:rPr>
        <w:t>6、</w:t>
      </w:r>
      <w:r>
        <w:rPr>
          <w:rFonts w:hint="eastAsia" w:ascii="仿宋" w:hAnsi="仿宋" w:eastAsia="仿宋" w:cs="仿宋"/>
          <w:color w:val="auto"/>
          <w:sz w:val="24"/>
          <w:highlight w:val="none"/>
        </w:rPr>
        <w:t>知识产权：即乙方应保证甲方在使用成交货物时，不承担任何涉及知识产权法律诉讼的责任。</w:t>
      </w:r>
    </w:p>
    <w:p w14:paraId="1599DA35">
      <w:pPr>
        <w:shd w:val="clear"/>
        <w:adjustRightInd w:val="0"/>
        <w:snapToGrid w:val="0"/>
        <w:spacing w:line="360" w:lineRule="auto"/>
        <w:ind w:firstLine="600" w:firstLineChars="250"/>
        <w:rPr>
          <w:rFonts w:ascii="仿宋" w:hAnsi="仿宋" w:eastAsia="仿宋" w:cs="仿宋"/>
          <w:color w:val="auto"/>
          <w:highlight w:val="none"/>
        </w:rPr>
      </w:pPr>
      <w:r>
        <w:rPr>
          <w:rFonts w:hint="eastAsia" w:ascii="仿宋" w:hAnsi="仿宋" w:eastAsia="仿宋" w:cs="仿宋"/>
          <w:color w:val="auto"/>
          <w:sz w:val="24"/>
          <w:highlight w:val="none"/>
        </w:rPr>
        <w:t>7、需执行的国家相关标准、行业标准、地方标准或者其他标准、规范：数据中心设计规范GB50174。</w:t>
      </w:r>
    </w:p>
    <w:p w14:paraId="4A54CF03">
      <w:pPr>
        <w:shd w:val="clear"/>
        <w:adjustRightInd w:val="0"/>
        <w:snapToGrid w:val="0"/>
        <w:spacing w:line="360" w:lineRule="auto"/>
        <w:ind w:firstLine="359" w:firstLineChars="149"/>
        <w:rPr>
          <w:rFonts w:ascii="仿宋" w:hAnsi="仿宋" w:eastAsia="仿宋" w:cs="仿宋"/>
          <w:b/>
          <w:color w:val="auto"/>
          <w:sz w:val="24"/>
          <w:highlight w:val="none"/>
        </w:rPr>
      </w:pPr>
      <w:r>
        <w:rPr>
          <w:rFonts w:hint="eastAsia" w:ascii="仿宋" w:hAnsi="仿宋" w:eastAsia="仿宋" w:cs="仿宋"/>
          <w:b/>
          <w:color w:val="auto"/>
          <w:sz w:val="24"/>
          <w:highlight w:val="none"/>
        </w:rPr>
        <w:t>七、安装、调试及技术服务</w:t>
      </w:r>
    </w:p>
    <w:p w14:paraId="329682ED">
      <w:pPr>
        <w:shd w:val="clear"/>
        <w:spacing w:line="360" w:lineRule="auto"/>
        <w:ind w:firstLine="496" w:firstLineChars="207"/>
        <w:rPr>
          <w:rFonts w:ascii="仿宋" w:hAnsi="仿宋" w:eastAsia="仿宋" w:cs="仿宋"/>
          <w:color w:val="auto"/>
          <w:sz w:val="24"/>
          <w:highlight w:val="none"/>
        </w:rPr>
      </w:pPr>
      <w:r>
        <w:rPr>
          <w:rFonts w:hint="eastAsia" w:ascii="仿宋" w:hAnsi="仿宋" w:eastAsia="仿宋" w:cs="仿宋"/>
          <w:color w:val="auto"/>
          <w:sz w:val="24"/>
          <w:highlight w:val="none"/>
        </w:rPr>
        <w:t>1、技术资料包括：出厂检测报告、产品使用说明书、合格证等其它相关资料。</w:t>
      </w:r>
    </w:p>
    <w:p w14:paraId="532999F5">
      <w:pPr>
        <w:shd w:val="clear"/>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在质保期内（保修起始日为货到验收合格之日起），乙方在接到用户对所购产品进行维修的要求后，24小时内到用户现场进行维修服务，全部费用由乙方支付，若需将产品送回生产厂，由乙方支付维修产品所需的往返费用。</w:t>
      </w:r>
    </w:p>
    <w:p w14:paraId="7E04405D">
      <w:pPr>
        <w:shd w:val="clear"/>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3、乙方保证产品完全按招标要求提供，若达不到要求，乙方须及时跟甲方沟通协商更换产品，并按照再次验收合格时间相应延长该产品保修期。</w:t>
      </w:r>
    </w:p>
    <w:p w14:paraId="0426335D">
      <w:pPr>
        <w:shd w:val="clear"/>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4、技术培训</w:t>
      </w:r>
    </w:p>
    <w:p w14:paraId="488D28C3">
      <w:pPr>
        <w:shd w:val="clear"/>
        <w:spacing w:line="360" w:lineRule="auto"/>
        <w:ind w:firstLine="600" w:firstLineChars="250"/>
        <w:rPr>
          <w:rFonts w:ascii="仿宋" w:hAnsi="仿宋" w:eastAsia="仿宋" w:cs="仿宋"/>
          <w:color w:val="auto"/>
          <w:sz w:val="24"/>
          <w:highlight w:val="none"/>
        </w:rPr>
      </w:pPr>
      <w:r>
        <w:rPr>
          <w:rFonts w:hint="eastAsia" w:ascii="仿宋" w:hAnsi="仿宋" w:eastAsia="仿宋" w:cs="仿宋"/>
          <w:color w:val="auto"/>
          <w:sz w:val="24"/>
          <w:highlight w:val="none"/>
        </w:rPr>
        <w:t>1）内容：包括产品原理、使用操作、保养维修技术等，使受训人员达到独立使用、熟练操作的程度。</w:t>
      </w:r>
    </w:p>
    <w:p w14:paraId="6A61A099">
      <w:pPr>
        <w:shd w:val="clear"/>
        <w:spacing w:line="360" w:lineRule="auto"/>
        <w:ind w:firstLine="600" w:firstLineChars="250"/>
        <w:rPr>
          <w:rFonts w:ascii="仿宋" w:hAnsi="仿宋" w:eastAsia="仿宋" w:cs="仿宋"/>
          <w:color w:val="auto"/>
          <w:sz w:val="24"/>
          <w:highlight w:val="none"/>
        </w:rPr>
      </w:pPr>
      <w:r>
        <w:rPr>
          <w:rFonts w:hint="eastAsia" w:ascii="仿宋" w:hAnsi="仿宋" w:eastAsia="仿宋" w:cs="仿宋"/>
          <w:color w:val="auto"/>
          <w:sz w:val="24"/>
          <w:highlight w:val="none"/>
        </w:rPr>
        <w:t>2）培训准备：每台仪器培训主要操作人员2-3人。</w:t>
      </w:r>
    </w:p>
    <w:p w14:paraId="3E5AECAB">
      <w:pPr>
        <w:shd w:val="clear"/>
        <w:spacing w:line="360" w:lineRule="auto"/>
        <w:ind w:firstLine="600" w:firstLineChars="250"/>
        <w:rPr>
          <w:rFonts w:ascii="仿宋" w:hAnsi="仿宋" w:eastAsia="仿宋" w:cs="仿宋"/>
          <w:color w:val="auto"/>
          <w:sz w:val="24"/>
          <w:highlight w:val="none"/>
        </w:rPr>
      </w:pPr>
      <w:r>
        <w:rPr>
          <w:rFonts w:hint="eastAsia" w:ascii="仿宋" w:hAnsi="仿宋" w:eastAsia="仿宋" w:cs="仿宋"/>
          <w:color w:val="auto"/>
          <w:sz w:val="24"/>
          <w:highlight w:val="none"/>
        </w:rPr>
        <w:t>3）地点：仪器安装地点（陕西铁路工程职业技术学院）</w:t>
      </w:r>
    </w:p>
    <w:p w14:paraId="413622DB">
      <w:pPr>
        <w:shd w:val="clear"/>
        <w:spacing w:line="360" w:lineRule="auto"/>
        <w:ind w:firstLine="600" w:firstLineChars="250"/>
        <w:rPr>
          <w:rFonts w:ascii="仿宋" w:hAnsi="仿宋" w:eastAsia="仿宋" w:cs="仿宋"/>
          <w:color w:val="auto"/>
          <w:sz w:val="24"/>
          <w:highlight w:val="none"/>
        </w:rPr>
      </w:pPr>
      <w:r>
        <w:rPr>
          <w:rFonts w:hint="eastAsia" w:ascii="仿宋" w:hAnsi="仿宋" w:eastAsia="仿宋" w:cs="仿宋"/>
          <w:color w:val="auto"/>
          <w:sz w:val="24"/>
          <w:highlight w:val="none"/>
        </w:rPr>
        <w:t>4）时间：在收到甲方通知后一周内安排。</w:t>
      </w:r>
    </w:p>
    <w:p w14:paraId="54E3F104">
      <w:pPr>
        <w:shd w:val="clea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5、服务承诺：按投标文件中的服务承诺执行。</w:t>
      </w:r>
    </w:p>
    <w:p w14:paraId="47A20EE7">
      <w:pPr>
        <w:shd w:val="clea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6、安装调试过程中出现的安全责任问题由乙方全权负责。</w:t>
      </w:r>
    </w:p>
    <w:p w14:paraId="2F2295B3">
      <w:pPr>
        <w:shd w:val="clear"/>
        <w:tabs>
          <w:tab w:val="left" w:pos="5355"/>
        </w:tabs>
        <w:spacing w:line="360" w:lineRule="auto"/>
        <w:ind w:firstLine="506" w:firstLineChars="210"/>
        <w:rPr>
          <w:rFonts w:ascii="仿宋" w:hAnsi="仿宋" w:eastAsia="仿宋" w:cs="仿宋"/>
          <w:b/>
          <w:color w:val="auto"/>
          <w:sz w:val="24"/>
          <w:highlight w:val="none"/>
        </w:rPr>
      </w:pPr>
      <w:r>
        <w:rPr>
          <w:rFonts w:hint="eastAsia" w:ascii="仿宋" w:hAnsi="仿宋" w:eastAsia="仿宋" w:cs="仿宋"/>
          <w:b/>
          <w:color w:val="auto"/>
          <w:sz w:val="24"/>
          <w:highlight w:val="none"/>
        </w:rPr>
        <w:t>八、违约责任：</w:t>
      </w:r>
    </w:p>
    <w:p w14:paraId="5CD5CF70">
      <w:pPr>
        <w:shd w:val="clea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1、按《中华人民共和国民法典》中合同部分的相关条款执行。</w:t>
      </w:r>
    </w:p>
    <w:p w14:paraId="1183EC9C">
      <w:pPr>
        <w:shd w:val="clea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2、未按合同要求提供产品或产品质量不能满足技术要求，甲方有权终止合同，并保留追究乙方违约责任的权利。</w:t>
      </w:r>
    </w:p>
    <w:p w14:paraId="0D18C5E3">
      <w:pPr>
        <w:shd w:val="clea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3、时间迟延的，违约方按照每天1‰向对方承担违约责任。产品质量问题违约的，除了按照迟延时间计算违约金外，另可以采取退货、换货等方式，由供方承担一切费用。</w:t>
      </w:r>
    </w:p>
    <w:p w14:paraId="0A6C4533">
      <w:pPr>
        <w:shd w:val="clea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4、乙方不得进行债权转让。</w:t>
      </w:r>
    </w:p>
    <w:p w14:paraId="76A75DB0">
      <w:pPr>
        <w:shd w:val="clear"/>
        <w:spacing w:line="360" w:lineRule="auto"/>
        <w:ind w:firstLine="532"/>
        <w:rPr>
          <w:rFonts w:ascii="仿宋" w:hAnsi="仿宋" w:eastAsia="仿宋" w:cs="仿宋"/>
          <w:b/>
          <w:color w:val="auto"/>
          <w:sz w:val="24"/>
          <w:highlight w:val="none"/>
        </w:rPr>
      </w:pPr>
      <w:r>
        <w:rPr>
          <w:rFonts w:hint="eastAsia" w:ascii="仿宋" w:hAnsi="仿宋" w:eastAsia="仿宋" w:cs="仿宋"/>
          <w:b/>
          <w:color w:val="auto"/>
          <w:sz w:val="24"/>
          <w:highlight w:val="none"/>
        </w:rPr>
        <w:t>九、产品验收</w:t>
      </w:r>
    </w:p>
    <w:p w14:paraId="0DC21091">
      <w:pPr>
        <w:shd w:val="clear"/>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1、产品到货后，乙方负责安装调试，达到正常运行条件后书面通知甲方验收。</w:t>
      </w:r>
    </w:p>
    <w:p w14:paraId="6902463E">
      <w:pPr>
        <w:shd w:val="clear"/>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2、安装完成后应提供详细的安装报告，并详细记录各种指示的实测数据。</w:t>
      </w:r>
    </w:p>
    <w:p w14:paraId="174DA1E0">
      <w:pPr>
        <w:shd w:val="clear"/>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3、提供完整的操作手册和安装、调试、维修手册；提供制造厂家的检验测试报告或产品出厂检测报告。</w:t>
      </w:r>
    </w:p>
    <w:p w14:paraId="76DF08D0">
      <w:pPr>
        <w:shd w:val="clear"/>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4、甲方根据合同要求对产品进行验收、确认产品的产地、规格、型号和数量。验收依据为</w:t>
      </w:r>
      <w:bookmarkStart w:id="0" w:name="_Toc337393760"/>
      <w:r>
        <w:rPr>
          <w:rFonts w:hint="eastAsia" w:ascii="仿宋" w:hAnsi="仿宋" w:eastAsia="仿宋" w:cs="仿宋"/>
          <w:color w:val="auto"/>
          <w:sz w:val="24"/>
          <w:highlight w:val="none"/>
        </w:rPr>
        <w:t>本合同文本、招标文件和国内相应的标准、规范</w:t>
      </w:r>
      <w:bookmarkEnd w:id="0"/>
      <w:bookmarkStart w:id="1" w:name="_Toc337393761"/>
      <w:r>
        <w:rPr>
          <w:rFonts w:hint="eastAsia" w:ascii="仿宋" w:hAnsi="仿宋" w:eastAsia="仿宋" w:cs="仿宋"/>
          <w:color w:val="auto"/>
          <w:sz w:val="24"/>
          <w:highlight w:val="none"/>
        </w:rPr>
        <w:t>。</w:t>
      </w:r>
      <w:bookmarkEnd w:id="1"/>
      <w:r>
        <w:rPr>
          <w:rFonts w:hint="eastAsia" w:ascii="仿宋" w:hAnsi="仿宋" w:eastAsia="仿宋" w:cs="仿宋"/>
          <w:color w:val="auto"/>
          <w:sz w:val="24"/>
          <w:highlight w:val="none"/>
        </w:rPr>
        <w:t>甲方根据合同要求对产品进行验收、确认产品的产地、规格、型号和数量。验收依据为本合同文本、招标文件和国内相应的标准、规范。甲方可以邀请参加本项目的其他投标人或者第三方专业机构及专家参与验收,相关验收意见作为验收的参考资料。项目验收另有国家强制性规定的,按国家规定执行,验收费用由乙方承担验收报告作为申请付款的凭证之一。验收过程中产生纠纷的，由质量技术监督部门认定的检测机构检测,如为乙方原因造成的，由乙方承担检测费用:否则由甲方承担。项目验收不合格由乙方返工直至合格，有关返工、再行验收，以及给甲方造成的损失等费用由乙方承担，连续两次项目验收不合格的，甲方可终止合同，由此带来的一切损失由乙方承担。</w:t>
      </w:r>
    </w:p>
    <w:p w14:paraId="161DC043">
      <w:pPr>
        <w:shd w:val="clear"/>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5、验收合格后，填写产品验收单，并向甲方提交产品所包含的所有资料，以便甲方日后管理和维护。</w:t>
      </w:r>
    </w:p>
    <w:p w14:paraId="0E659964">
      <w:pPr>
        <w:shd w:val="clear"/>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6、验收由甲方负责组织或者邀请有关专家、质检机构进行验收,验收须以合同、招标文件、澄清、及国家相应的标准、规范等为依据。</w:t>
      </w:r>
    </w:p>
    <w:p w14:paraId="6ABA5D01">
      <w:pPr>
        <w:shd w:val="clear"/>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7、货物到货后，根据合同对货物的名称、型号、数量进行检查,设备调试最佳状态，软件系统培训到位，使用人员能够熟练操作。</w:t>
      </w:r>
    </w:p>
    <w:p w14:paraId="0A8EDABD">
      <w:pPr>
        <w:shd w:val="clear"/>
        <w:spacing w:line="360" w:lineRule="auto"/>
        <w:ind w:firstLine="482" w:firstLineChars="200"/>
        <w:rPr>
          <w:rFonts w:ascii="仿宋" w:hAnsi="仿宋" w:eastAsia="仿宋" w:cs="仿宋"/>
          <w:b/>
          <w:bCs/>
          <w:color w:val="auto"/>
          <w:sz w:val="24"/>
          <w:highlight w:val="none"/>
        </w:rPr>
      </w:pPr>
      <w:r>
        <w:rPr>
          <w:rFonts w:hint="eastAsia" w:ascii="仿宋" w:hAnsi="仿宋" w:eastAsia="仿宋" w:cs="仿宋"/>
          <w:b/>
          <w:bCs/>
          <w:color w:val="auto"/>
          <w:sz w:val="24"/>
          <w:highlight w:val="none"/>
        </w:rPr>
        <w:t>十、售后服务：</w:t>
      </w:r>
    </w:p>
    <w:p w14:paraId="256A434D">
      <w:pPr>
        <w:shd w:val="clear"/>
        <w:spacing w:line="360" w:lineRule="auto"/>
        <w:ind w:firstLine="482" w:firstLineChars="200"/>
        <w:rPr>
          <w:rFonts w:ascii="仿宋" w:hAnsi="仿宋" w:eastAsia="仿宋" w:cs="仿宋"/>
          <w:b/>
          <w:color w:val="auto"/>
          <w:sz w:val="24"/>
          <w:highlight w:val="none"/>
        </w:rPr>
      </w:pPr>
      <w:r>
        <w:rPr>
          <w:rFonts w:hint="eastAsia" w:ascii="仿宋" w:hAnsi="仿宋" w:eastAsia="仿宋" w:cs="仿宋"/>
          <w:b/>
          <w:color w:val="auto"/>
          <w:sz w:val="24"/>
          <w:highlight w:val="none"/>
        </w:rPr>
        <w:t>十一、合同争议的解决：</w:t>
      </w:r>
    </w:p>
    <w:p w14:paraId="78A4B51D">
      <w:pPr>
        <w:shd w:val="clear"/>
        <w:tabs>
          <w:tab w:val="left" w:pos="5355"/>
        </w:tabs>
        <w:spacing w:line="360" w:lineRule="auto"/>
        <w:ind w:firstLine="480" w:firstLineChars="200"/>
        <w:rPr>
          <w:rFonts w:ascii="仿宋" w:hAnsi="仿宋" w:eastAsia="仿宋" w:cs="仿宋"/>
          <w:b/>
          <w:color w:val="auto"/>
          <w:sz w:val="24"/>
          <w:highlight w:val="none"/>
        </w:rPr>
      </w:pPr>
      <w:r>
        <w:rPr>
          <w:rFonts w:hint="eastAsia" w:ascii="仿宋" w:hAnsi="仿宋" w:eastAsia="仿宋" w:cs="仿宋"/>
          <w:color w:val="auto"/>
          <w:sz w:val="24"/>
          <w:highlight w:val="none"/>
        </w:rPr>
        <w:t>合同一经签订，不得随意变更、中止或终止。对确需变更、调整或者中止、终止合同的，应按规定履行相应的手续。</w:t>
      </w:r>
    </w:p>
    <w:p w14:paraId="61C51910">
      <w:pPr>
        <w:shd w:val="clear"/>
        <w:tabs>
          <w:tab w:val="left" w:pos="5355"/>
        </w:tabs>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合同执行中发生争议的，甲、乙双方应协商解决，协商达不成一致时，可向甲方所在地人民法院提请诉讼。</w:t>
      </w:r>
    </w:p>
    <w:p w14:paraId="615F5AA5">
      <w:pPr>
        <w:shd w:val="clear"/>
        <w:tabs>
          <w:tab w:val="left" w:pos="980"/>
        </w:tabs>
        <w:spacing w:line="360" w:lineRule="auto"/>
        <w:ind w:firstLine="482" w:firstLineChars="200"/>
        <w:rPr>
          <w:rFonts w:ascii="仿宋" w:hAnsi="仿宋" w:eastAsia="仿宋" w:cs="仿宋"/>
          <w:color w:val="auto"/>
          <w:sz w:val="24"/>
          <w:highlight w:val="none"/>
        </w:rPr>
      </w:pPr>
      <w:r>
        <w:rPr>
          <w:rFonts w:hint="eastAsia" w:ascii="仿宋" w:hAnsi="仿宋" w:eastAsia="仿宋" w:cs="仿宋"/>
          <w:b/>
          <w:color w:val="auto"/>
          <w:sz w:val="24"/>
          <w:highlight w:val="none"/>
        </w:rPr>
        <w:t>十二、本合同一式陆份，</w:t>
      </w:r>
      <w:r>
        <w:rPr>
          <w:rFonts w:hint="eastAsia" w:ascii="仿宋" w:hAnsi="仿宋" w:eastAsia="仿宋" w:cs="仿宋"/>
          <w:color w:val="auto"/>
          <w:sz w:val="24"/>
          <w:highlight w:val="none"/>
        </w:rPr>
        <w:t>甲方肆份，乙方贰份。签字盖章后生效，合同执行完毕自动失效。（合同的服务承诺则长期有效）。</w:t>
      </w:r>
    </w:p>
    <w:p w14:paraId="1AEEA5DF">
      <w:pPr>
        <w:shd w:val="clear"/>
        <w:spacing w:line="360" w:lineRule="auto"/>
        <w:ind w:firstLine="482" w:firstLineChars="200"/>
        <w:rPr>
          <w:rFonts w:hint="eastAsia" w:ascii="仿宋" w:hAnsi="仿宋" w:eastAsia="仿宋" w:cs="仿宋"/>
          <w:b/>
          <w:bCs/>
          <w:color w:val="auto"/>
          <w:sz w:val="24"/>
          <w:highlight w:val="none"/>
        </w:rPr>
      </w:pPr>
      <w:r>
        <w:rPr>
          <w:rFonts w:hint="eastAsia" w:ascii="仿宋" w:hAnsi="仿宋" w:eastAsia="仿宋" w:cs="仿宋"/>
          <w:b/>
          <w:color w:val="auto"/>
          <w:sz w:val="24"/>
          <w:highlight w:val="none"/>
        </w:rPr>
        <w:t>十三、其它</w:t>
      </w:r>
      <w:r>
        <w:rPr>
          <w:rFonts w:hint="eastAsia" w:ascii="仿宋" w:hAnsi="仿宋" w:eastAsia="仿宋" w:cs="仿宋"/>
          <w:b/>
          <w:bCs/>
          <w:color w:val="auto"/>
          <w:sz w:val="24"/>
          <w:highlight w:val="none"/>
        </w:rPr>
        <w:t>（乙方信息全部为必填项）</w:t>
      </w:r>
    </w:p>
    <w:p w14:paraId="222551FF">
      <w:pPr>
        <w:shd w:val="clea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br w:type="page"/>
      </w:r>
    </w:p>
    <w:p w14:paraId="2D73E6B8">
      <w:pPr>
        <w:shd w:val="clear"/>
        <w:spacing w:line="360" w:lineRule="auto"/>
        <w:ind w:firstLine="482" w:firstLineChars="200"/>
        <w:rPr>
          <w:rFonts w:hint="eastAsia" w:ascii="仿宋" w:hAnsi="仿宋" w:eastAsia="仿宋" w:cs="仿宋"/>
          <w:b/>
          <w:bCs/>
          <w:color w:val="auto"/>
          <w:sz w:val="24"/>
          <w:highlight w:val="none"/>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28"/>
        <w:gridCol w:w="4629"/>
      </w:tblGrid>
      <w:tr w14:paraId="1CDAE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0CC76640">
            <w:pPr>
              <w:shd w:val="clear"/>
              <w:spacing w:line="360" w:lineRule="auto"/>
              <w:jc w:val="left"/>
              <w:rPr>
                <w:rFonts w:ascii="仿宋" w:hAnsi="仿宋" w:eastAsia="仿宋" w:cs="仿宋"/>
                <w:color w:val="auto"/>
                <w:sz w:val="24"/>
                <w:highlight w:val="none"/>
              </w:rPr>
            </w:pPr>
            <w:r>
              <w:rPr>
                <w:rFonts w:hint="eastAsia" w:ascii="仿宋" w:hAnsi="仿宋" w:eastAsia="仿宋" w:cs="仿宋"/>
                <w:color w:val="auto"/>
                <w:sz w:val="24"/>
                <w:highlight w:val="none"/>
              </w:rPr>
              <w:t>甲  方</w:t>
            </w:r>
          </w:p>
        </w:tc>
        <w:tc>
          <w:tcPr>
            <w:tcW w:w="4629" w:type="dxa"/>
            <w:tcBorders>
              <w:top w:val="single" w:color="auto" w:sz="4" w:space="0"/>
              <w:left w:val="single" w:color="auto" w:sz="4" w:space="0"/>
              <w:bottom w:val="single" w:color="auto" w:sz="4" w:space="0"/>
              <w:right w:val="single" w:color="auto" w:sz="4" w:space="0"/>
            </w:tcBorders>
            <w:vAlign w:val="center"/>
          </w:tcPr>
          <w:p w14:paraId="58AA6B15">
            <w:pPr>
              <w:shd w:val="clear"/>
              <w:spacing w:line="360" w:lineRule="auto"/>
              <w:jc w:val="left"/>
              <w:rPr>
                <w:rFonts w:ascii="仿宋" w:hAnsi="仿宋" w:eastAsia="仿宋" w:cs="仿宋"/>
                <w:color w:val="auto"/>
                <w:sz w:val="24"/>
                <w:highlight w:val="none"/>
              </w:rPr>
            </w:pPr>
            <w:r>
              <w:rPr>
                <w:rFonts w:hint="eastAsia" w:ascii="仿宋" w:hAnsi="仿宋" w:eastAsia="仿宋" w:cs="仿宋"/>
                <w:color w:val="auto"/>
                <w:sz w:val="24"/>
                <w:highlight w:val="none"/>
              </w:rPr>
              <w:t>乙  方</w:t>
            </w:r>
          </w:p>
        </w:tc>
      </w:tr>
      <w:tr w14:paraId="5E82B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153EE021">
            <w:pPr>
              <w:shd w:val="clear"/>
              <w:spacing w:line="360" w:lineRule="auto"/>
              <w:jc w:val="left"/>
              <w:rPr>
                <w:rFonts w:ascii="仿宋" w:hAnsi="仿宋" w:eastAsia="仿宋" w:cs="仿宋"/>
                <w:color w:val="auto"/>
                <w:sz w:val="24"/>
                <w:highlight w:val="none"/>
              </w:rPr>
            </w:pPr>
            <w:r>
              <w:rPr>
                <w:rFonts w:hint="eastAsia" w:ascii="仿宋" w:hAnsi="仿宋" w:eastAsia="仿宋" w:cs="仿宋"/>
                <w:color w:val="auto"/>
                <w:sz w:val="24"/>
                <w:highlight w:val="none"/>
              </w:rPr>
              <w:t>（盖章）</w:t>
            </w:r>
          </w:p>
        </w:tc>
        <w:tc>
          <w:tcPr>
            <w:tcW w:w="4629" w:type="dxa"/>
            <w:tcBorders>
              <w:top w:val="single" w:color="auto" w:sz="4" w:space="0"/>
              <w:left w:val="single" w:color="auto" w:sz="4" w:space="0"/>
              <w:bottom w:val="single" w:color="auto" w:sz="4" w:space="0"/>
              <w:right w:val="single" w:color="auto" w:sz="4" w:space="0"/>
            </w:tcBorders>
            <w:vAlign w:val="center"/>
          </w:tcPr>
          <w:p w14:paraId="282908EA">
            <w:pPr>
              <w:shd w:val="clear"/>
              <w:spacing w:line="360" w:lineRule="auto"/>
              <w:jc w:val="left"/>
              <w:rPr>
                <w:rFonts w:ascii="仿宋" w:hAnsi="仿宋" w:eastAsia="仿宋" w:cs="仿宋"/>
                <w:color w:val="auto"/>
                <w:sz w:val="24"/>
                <w:highlight w:val="none"/>
              </w:rPr>
            </w:pPr>
            <w:r>
              <w:rPr>
                <w:rFonts w:hint="eastAsia" w:ascii="仿宋" w:hAnsi="仿宋" w:eastAsia="仿宋" w:cs="仿宋"/>
                <w:color w:val="auto"/>
                <w:sz w:val="24"/>
                <w:highlight w:val="none"/>
              </w:rPr>
              <w:t>成交单位全称</w:t>
            </w:r>
          </w:p>
          <w:p w14:paraId="4947B1F4">
            <w:pPr>
              <w:shd w:val="clear"/>
              <w:spacing w:line="360" w:lineRule="auto"/>
              <w:jc w:val="left"/>
              <w:rPr>
                <w:rFonts w:ascii="仿宋" w:hAnsi="仿宋" w:eastAsia="仿宋" w:cs="仿宋"/>
                <w:color w:val="auto"/>
                <w:sz w:val="24"/>
                <w:highlight w:val="none"/>
              </w:rPr>
            </w:pPr>
            <w:r>
              <w:rPr>
                <w:rFonts w:hint="eastAsia" w:ascii="仿宋" w:hAnsi="仿宋" w:eastAsia="仿宋" w:cs="仿宋"/>
                <w:color w:val="auto"/>
                <w:sz w:val="24"/>
                <w:highlight w:val="none"/>
              </w:rPr>
              <w:t>（盖章）</w:t>
            </w:r>
          </w:p>
        </w:tc>
      </w:tr>
      <w:tr w14:paraId="1B9B6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580AB840">
            <w:pPr>
              <w:shd w:val="clear"/>
              <w:spacing w:line="360" w:lineRule="auto"/>
              <w:jc w:val="left"/>
              <w:rPr>
                <w:rFonts w:ascii="仿宋" w:hAnsi="仿宋" w:eastAsia="仿宋" w:cs="仿宋"/>
                <w:color w:val="auto"/>
                <w:sz w:val="24"/>
                <w:highlight w:val="none"/>
              </w:rPr>
            </w:pPr>
            <w:r>
              <w:rPr>
                <w:rFonts w:hint="eastAsia" w:ascii="仿宋" w:hAnsi="仿宋" w:eastAsia="仿宋" w:cs="仿宋"/>
                <w:color w:val="auto"/>
                <w:sz w:val="24"/>
                <w:highlight w:val="none"/>
              </w:rPr>
              <w:t>地址：</w:t>
            </w:r>
          </w:p>
        </w:tc>
        <w:tc>
          <w:tcPr>
            <w:tcW w:w="4629" w:type="dxa"/>
            <w:tcBorders>
              <w:top w:val="single" w:color="auto" w:sz="4" w:space="0"/>
              <w:left w:val="single" w:color="auto" w:sz="4" w:space="0"/>
              <w:bottom w:val="single" w:color="auto" w:sz="4" w:space="0"/>
              <w:right w:val="single" w:color="auto" w:sz="4" w:space="0"/>
            </w:tcBorders>
            <w:vAlign w:val="center"/>
          </w:tcPr>
          <w:p w14:paraId="2E4B58D3">
            <w:pPr>
              <w:shd w:val="clear"/>
              <w:jc w:val="left"/>
              <w:rPr>
                <w:rFonts w:ascii="仿宋" w:hAnsi="仿宋" w:eastAsia="仿宋" w:cs="仿宋"/>
                <w:color w:val="auto"/>
                <w:sz w:val="24"/>
                <w:highlight w:val="none"/>
              </w:rPr>
            </w:pPr>
            <w:r>
              <w:rPr>
                <w:rFonts w:hint="eastAsia" w:ascii="仿宋" w:hAnsi="仿宋" w:eastAsia="仿宋" w:cs="仿宋"/>
                <w:color w:val="auto"/>
                <w:sz w:val="24"/>
                <w:highlight w:val="none"/>
              </w:rPr>
              <w:t>地址：</w:t>
            </w:r>
          </w:p>
        </w:tc>
      </w:tr>
      <w:tr w14:paraId="7C83E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34D2C7F9">
            <w:pPr>
              <w:shd w:val="clear"/>
              <w:spacing w:line="360" w:lineRule="auto"/>
              <w:jc w:val="left"/>
              <w:rPr>
                <w:rFonts w:ascii="仿宋" w:hAnsi="仿宋" w:eastAsia="仿宋" w:cs="仿宋"/>
                <w:color w:val="auto"/>
                <w:sz w:val="24"/>
                <w:highlight w:val="none"/>
              </w:rPr>
            </w:pPr>
            <w:r>
              <w:rPr>
                <w:rFonts w:hint="eastAsia" w:ascii="仿宋" w:hAnsi="仿宋" w:eastAsia="仿宋" w:cs="仿宋"/>
                <w:color w:val="auto"/>
                <w:sz w:val="24"/>
                <w:highlight w:val="none"/>
              </w:rPr>
              <w:t>邮编：</w:t>
            </w:r>
          </w:p>
        </w:tc>
        <w:tc>
          <w:tcPr>
            <w:tcW w:w="4629" w:type="dxa"/>
            <w:tcBorders>
              <w:top w:val="single" w:color="auto" w:sz="4" w:space="0"/>
              <w:left w:val="single" w:color="auto" w:sz="4" w:space="0"/>
              <w:bottom w:val="single" w:color="auto" w:sz="4" w:space="0"/>
              <w:right w:val="single" w:color="auto" w:sz="4" w:space="0"/>
            </w:tcBorders>
            <w:vAlign w:val="center"/>
          </w:tcPr>
          <w:p w14:paraId="154E6BA2">
            <w:pPr>
              <w:shd w:val="clear"/>
              <w:spacing w:line="360" w:lineRule="auto"/>
              <w:jc w:val="left"/>
              <w:rPr>
                <w:rFonts w:ascii="仿宋" w:hAnsi="仿宋" w:eastAsia="仿宋" w:cs="仿宋"/>
                <w:color w:val="auto"/>
                <w:sz w:val="24"/>
                <w:highlight w:val="none"/>
              </w:rPr>
            </w:pPr>
            <w:r>
              <w:rPr>
                <w:rFonts w:hint="eastAsia" w:ascii="仿宋" w:hAnsi="仿宋" w:eastAsia="仿宋" w:cs="仿宋"/>
                <w:color w:val="auto"/>
                <w:sz w:val="24"/>
                <w:highlight w:val="none"/>
              </w:rPr>
              <w:t>邮编：</w:t>
            </w:r>
          </w:p>
        </w:tc>
      </w:tr>
      <w:tr w14:paraId="2F071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vMerge w:val="restart"/>
            <w:tcBorders>
              <w:top w:val="single" w:color="auto" w:sz="4" w:space="0"/>
              <w:left w:val="single" w:color="auto" w:sz="4" w:space="0"/>
              <w:right w:val="single" w:color="auto" w:sz="4" w:space="0"/>
            </w:tcBorders>
            <w:vAlign w:val="center"/>
          </w:tcPr>
          <w:p w14:paraId="6B4065A6">
            <w:pPr>
              <w:shd w:val="clear"/>
              <w:spacing w:line="360" w:lineRule="auto"/>
              <w:jc w:val="left"/>
              <w:rPr>
                <w:rFonts w:ascii="仿宋" w:hAnsi="仿宋" w:eastAsia="仿宋" w:cs="仿宋"/>
                <w:color w:val="auto"/>
                <w:sz w:val="24"/>
                <w:highlight w:val="none"/>
              </w:rPr>
            </w:pPr>
            <w:r>
              <w:rPr>
                <w:rFonts w:hint="eastAsia" w:ascii="仿宋" w:hAnsi="仿宋" w:eastAsia="仿宋" w:cs="仿宋"/>
                <w:color w:val="auto"/>
                <w:sz w:val="24"/>
                <w:highlight w:val="none"/>
              </w:rPr>
              <w:t>法定代表人：（签字）</w:t>
            </w:r>
          </w:p>
        </w:tc>
        <w:tc>
          <w:tcPr>
            <w:tcW w:w="4629" w:type="dxa"/>
            <w:tcBorders>
              <w:top w:val="single" w:color="auto" w:sz="4" w:space="0"/>
              <w:left w:val="single" w:color="auto" w:sz="4" w:space="0"/>
              <w:bottom w:val="single" w:color="auto" w:sz="4" w:space="0"/>
              <w:right w:val="single" w:color="auto" w:sz="4" w:space="0"/>
            </w:tcBorders>
            <w:vAlign w:val="center"/>
          </w:tcPr>
          <w:p w14:paraId="20887BEE">
            <w:pPr>
              <w:shd w:val="clear"/>
              <w:spacing w:line="360" w:lineRule="auto"/>
              <w:jc w:val="left"/>
              <w:rPr>
                <w:rFonts w:ascii="仿宋" w:hAnsi="仿宋" w:eastAsia="仿宋" w:cs="仿宋"/>
                <w:color w:val="auto"/>
                <w:sz w:val="24"/>
                <w:highlight w:val="none"/>
              </w:rPr>
            </w:pPr>
            <w:r>
              <w:rPr>
                <w:rFonts w:hint="eastAsia" w:ascii="仿宋" w:hAnsi="仿宋" w:eastAsia="仿宋" w:cs="仿宋"/>
                <w:color w:val="auto"/>
                <w:sz w:val="24"/>
                <w:highlight w:val="none"/>
              </w:rPr>
              <w:t>法定代表人：</w:t>
            </w:r>
          </w:p>
        </w:tc>
      </w:tr>
      <w:tr w14:paraId="51F86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vMerge w:val="continue"/>
            <w:tcBorders>
              <w:left w:val="single" w:color="auto" w:sz="4" w:space="0"/>
              <w:bottom w:val="single" w:color="auto" w:sz="4" w:space="0"/>
              <w:right w:val="single" w:color="auto" w:sz="4" w:space="0"/>
            </w:tcBorders>
            <w:vAlign w:val="center"/>
          </w:tcPr>
          <w:p w14:paraId="3F45854E">
            <w:pPr>
              <w:shd w:val="clear"/>
              <w:spacing w:line="360" w:lineRule="auto"/>
              <w:jc w:val="left"/>
              <w:rPr>
                <w:rFonts w:ascii="仿宋" w:hAnsi="仿宋" w:eastAsia="仿宋" w:cs="仿宋"/>
                <w:color w:val="auto"/>
                <w:sz w:val="24"/>
                <w:highlight w:val="none"/>
              </w:rPr>
            </w:pPr>
          </w:p>
        </w:tc>
        <w:tc>
          <w:tcPr>
            <w:tcW w:w="4629" w:type="dxa"/>
            <w:tcBorders>
              <w:top w:val="single" w:color="auto" w:sz="4" w:space="0"/>
              <w:left w:val="single" w:color="auto" w:sz="4" w:space="0"/>
              <w:bottom w:val="single" w:color="auto" w:sz="4" w:space="0"/>
              <w:right w:val="single" w:color="auto" w:sz="4" w:space="0"/>
            </w:tcBorders>
            <w:vAlign w:val="center"/>
          </w:tcPr>
          <w:p w14:paraId="6917D2A2">
            <w:pPr>
              <w:shd w:val="clear"/>
              <w:spacing w:line="360" w:lineRule="auto"/>
              <w:jc w:val="left"/>
              <w:rPr>
                <w:rFonts w:ascii="仿宋" w:hAnsi="仿宋" w:eastAsia="仿宋" w:cs="仿宋"/>
                <w:color w:val="auto"/>
                <w:sz w:val="24"/>
                <w:highlight w:val="none"/>
              </w:rPr>
            </w:pPr>
            <w:r>
              <w:rPr>
                <w:rFonts w:hint="eastAsia" w:ascii="仿宋" w:hAnsi="仿宋" w:eastAsia="仿宋" w:cs="仿宋"/>
                <w:color w:val="auto"/>
                <w:sz w:val="24"/>
                <w:highlight w:val="none"/>
              </w:rPr>
              <w:t>被授权代表：（签字）</w:t>
            </w:r>
          </w:p>
        </w:tc>
      </w:tr>
      <w:tr w14:paraId="467D7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4297B4AC">
            <w:pPr>
              <w:shd w:val="clear"/>
              <w:spacing w:line="360" w:lineRule="auto"/>
              <w:jc w:val="left"/>
              <w:rPr>
                <w:rFonts w:ascii="仿宋" w:hAnsi="仿宋" w:eastAsia="仿宋" w:cs="仿宋"/>
                <w:color w:val="auto"/>
                <w:sz w:val="24"/>
                <w:highlight w:val="none"/>
              </w:rPr>
            </w:pPr>
            <w:r>
              <w:rPr>
                <w:rFonts w:hint="eastAsia" w:ascii="仿宋" w:hAnsi="仿宋" w:eastAsia="仿宋" w:cs="仿宋"/>
                <w:color w:val="auto"/>
                <w:sz w:val="24"/>
                <w:highlight w:val="none"/>
              </w:rPr>
              <w:t>电话：</w:t>
            </w:r>
          </w:p>
        </w:tc>
        <w:tc>
          <w:tcPr>
            <w:tcW w:w="4629" w:type="dxa"/>
            <w:tcBorders>
              <w:top w:val="single" w:color="auto" w:sz="4" w:space="0"/>
              <w:left w:val="single" w:color="auto" w:sz="4" w:space="0"/>
              <w:bottom w:val="single" w:color="auto" w:sz="4" w:space="0"/>
              <w:right w:val="single" w:color="auto" w:sz="4" w:space="0"/>
            </w:tcBorders>
            <w:vAlign w:val="center"/>
          </w:tcPr>
          <w:p w14:paraId="50FAF45D">
            <w:pPr>
              <w:shd w:val="clear"/>
              <w:spacing w:line="360" w:lineRule="auto"/>
              <w:jc w:val="left"/>
              <w:rPr>
                <w:rFonts w:ascii="仿宋" w:hAnsi="仿宋" w:eastAsia="仿宋" w:cs="仿宋"/>
                <w:color w:val="auto"/>
                <w:sz w:val="24"/>
                <w:highlight w:val="none"/>
              </w:rPr>
            </w:pPr>
            <w:r>
              <w:rPr>
                <w:rFonts w:hint="eastAsia" w:ascii="仿宋" w:hAnsi="仿宋" w:eastAsia="仿宋" w:cs="仿宋"/>
                <w:color w:val="auto"/>
                <w:sz w:val="24"/>
                <w:highlight w:val="none"/>
              </w:rPr>
              <w:t>电话：</w:t>
            </w:r>
          </w:p>
        </w:tc>
      </w:tr>
      <w:tr w14:paraId="340D0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55731E54">
            <w:pPr>
              <w:shd w:val="clear"/>
              <w:spacing w:line="360" w:lineRule="auto"/>
              <w:jc w:val="left"/>
              <w:rPr>
                <w:rFonts w:ascii="仿宋" w:hAnsi="仿宋" w:eastAsia="仿宋" w:cs="仿宋"/>
                <w:color w:val="auto"/>
                <w:sz w:val="24"/>
                <w:highlight w:val="none"/>
              </w:rPr>
            </w:pPr>
            <w:r>
              <w:rPr>
                <w:rFonts w:hint="eastAsia" w:ascii="仿宋" w:hAnsi="仿宋" w:eastAsia="仿宋" w:cs="仿宋"/>
                <w:color w:val="auto"/>
                <w:sz w:val="24"/>
                <w:highlight w:val="none"/>
              </w:rPr>
              <w:t>传真：</w:t>
            </w:r>
          </w:p>
        </w:tc>
        <w:tc>
          <w:tcPr>
            <w:tcW w:w="4629" w:type="dxa"/>
            <w:tcBorders>
              <w:top w:val="single" w:color="auto" w:sz="4" w:space="0"/>
              <w:left w:val="single" w:color="auto" w:sz="4" w:space="0"/>
              <w:bottom w:val="single" w:color="auto" w:sz="4" w:space="0"/>
              <w:right w:val="single" w:color="auto" w:sz="4" w:space="0"/>
            </w:tcBorders>
            <w:vAlign w:val="center"/>
          </w:tcPr>
          <w:p w14:paraId="3C5F6E08">
            <w:pPr>
              <w:shd w:val="clear"/>
              <w:spacing w:line="360" w:lineRule="auto"/>
              <w:jc w:val="left"/>
              <w:rPr>
                <w:rFonts w:ascii="仿宋" w:hAnsi="仿宋" w:eastAsia="仿宋" w:cs="仿宋"/>
                <w:color w:val="auto"/>
                <w:sz w:val="24"/>
                <w:highlight w:val="none"/>
              </w:rPr>
            </w:pPr>
            <w:r>
              <w:rPr>
                <w:rFonts w:hint="eastAsia" w:ascii="仿宋" w:hAnsi="仿宋" w:eastAsia="仿宋" w:cs="仿宋"/>
                <w:color w:val="auto"/>
                <w:sz w:val="24"/>
                <w:highlight w:val="none"/>
              </w:rPr>
              <w:t>传真：</w:t>
            </w:r>
          </w:p>
        </w:tc>
      </w:tr>
      <w:tr w14:paraId="75524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73403EC5">
            <w:pPr>
              <w:shd w:val="clear"/>
              <w:spacing w:line="360" w:lineRule="auto"/>
              <w:jc w:val="left"/>
              <w:rPr>
                <w:rFonts w:ascii="仿宋" w:hAnsi="仿宋" w:eastAsia="仿宋" w:cs="仿宋"/>
                <w:color w:val="auto"/>
                <w:sz w:val="24"/>
                <w:highlight w:val="none"/>
              </w:rPr>
            </w:pPr>
            <w:r>
              <w:rPr>
                <w:rFonts w:hint="eastAsia" w:ascii="仿宋" w:hAnsi="仿宋" w:eastAsia="仿宋" w:cs="仿宋"/>
                <w:color w:val="auto"/>
                <w:sz w:val="24"/>
                <w:highlight w:val="none"/>
              </w:rPr>
              <w:t>开户银行：</w:t>
            </w:r>
          </w:p>
        </w:tc>
        <w:tc>
          <w:tcPr>
            <w:tcW w:w="4629" w:type="dxa"/>
            <w:tcBorders>
              <w:top w:val="single" w:color="auto" w:sz="4" w:space="0"/>
              <w:left w:val="single" w:color="auto" w:sz="4" w:space="0"/>
              <w:bottom w:val="single" w:color="auto" w:sz="4" w:space="0"/>
              <w:right w:val="single" w:color="auto" w:sz="4" w:space="0"/>
            </w:tcBorders>
            <w:vAlign w:val="center"/>
          </w:tcPr>
          <w:p w14:paraId="02B50375">
            <w:pPr>
              <w:shd w:val="clear"/>
              <w:spacing w:line="360" w:lineRule="auto"/>
              <w:jc w:val="left"/>
              <w:rPr>
                <w:rFonts w:ascii="仿宋" w:hAnsi="仿宋" w:eastAsia="仿宋" w:cs="仿宋"/>
                <w:color w:val="auto"/>
                <w:sz w:val="24"/>
                <w:highlight w:val="none"/>
              </w:rPr>
            </w:pPr>
            <w:r>
              <w:rPr>
                <w:rFonts w:hint="eastAsia" w:ascii="仿宋" w:hAnsi="仿宋" w:eastAsia="仿宋" w:cs="仿宋"/>
                <w:color w:val="auto"/>
                <w:sz w:val="24"/>
                <w:highlight w:val="none"/>
              </w:rPr>
              <w:t>开户银行：</w:t>
            </w:r>
          </w:p>
        </w:tc>
      </w:tr>
      <w:tr w14:paraId="24B72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701E51B0">
            <w:pPr>
              <w:shd w:val="clear"/>
              <w:spacing w:line="360" w:lineRule="auto"/>
              <w:jc w:val="left"/>
              <w:rPr>
                <w:rFonts w:ascii="仿宋" w:hAnsi="仿宋" w:eastAsia="仿宋" w:cs="仿宋"/>
                <w:color w:val="auto"/>
                <w:sz w:val="24"/>
                <w:highlight w:val="none"/>
              </w:rPr>
            </w:pPr>
            <w:r>
              <w:rPr>
                <w:rFonts w:hint="eastAsia" w:ascii="仿宋" w:hAnsi="仿宋" w:eastAsia="仿宋" w:cs="仿宋"/>
                <w:color w:val="auto"/>
                <w:sz w:val="24"/>
                <w:highlight w:val="none"/>
              </w:rPr>
              <w:t>账号：</w:t>
            </w:r>
          </w:p>
        </w:tc>
        <w:tc>
          <w:tcPr>
            <w:tcW w:w="4629" w:type="dxa"/>
            <w:tcBorders>
              <w:top w:val="single" w:color="auto" w:sz="4" w:space="0"/>
              <w:left w:val="single" w:color="auto" w:sz="4" w:space="0"/>
              <w:bottom w:val="single" w:color="auto" w:sz="4" w:space="0"/>
              <w:right w:val="single" w:color="auto" w:sz="4" w:space="0"/>
            </w:tcBorders>
            <w:vAlign w:val="center"/>
          </w:tcPr>
          <w:p w14:paraId="5630AF05">
            <w:pPr>
              <w:shd w:val="clear"/>
              <w:spacing w:line="360" w:lineRule="auto"/>
              <w:jc w:val="left"/>
              <w:rPr>
                <w:rFonts w:ascii="仿宋" w:hAnsi="仿宋" w:eastAsia="仿宋" w:cs="仿宋"/>
                <w:color w:val="auto"/>
                <w:sz w:val="24"/>
                <w:highlight w:val="none"/>
              </w:rPr>
            </w:pPr>
            <w:r>
              <w:rPr>
                <w:rFonts w:hint="eastAsia" w:ascii="仿宋" w:hAnsi="仿宋" w:eastAsia="仿宋" w:cs="仿宋"/>
                <w:color w:val="auto"/>
                <w:sz w:val="24"/>
                <w:highlight w:val="none"/>
              </w:rPr>
              <w:t>账号:</w:t>
            </w:r>
          </w:p>
        </w:tc>
      </w:tr>
      <w:tr w14:paraId="51EF62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20E5C9F7">
            <w:pPr>
              <w:shd w:val="clear"/>
              <w:spacing w:line="360" w:lineRule="auto"/>
              <w:jc w:val="left"/>
              <w:rPr>
                <w:rFonts w:ascii="仿宋" w:hAnsi="仿宋" w:eastAsia="仿宋" w:cs="仿宋"/>
                <w:color w:val="auto"/>
                <w:sz w:val="24"/>
                <w:highlight w:val="none"/>
              </w:rPr>
            </w:pPr>
          </w:p>
        </w:tc>
        <w:tc>
          <w:tcPr>
            <w:tcW w:w="4629" w:type="dxa"/>
            <w:tcBorders>
              <w:top w:val="single" w:color="auto" w:sz="4" w:space="0"/>
              <w:left w:val="single" w:color="auto" w:sz="4" w:space="0"/>
              <w:bottom w:val="single" w:color="auto" w:sz="4" w:space="0"/>
              <w:right w:val="single" w:color="auto" w:sz="4" w:space="0"/>
            </w:tcBorders>
            <w:vAlign w:val="center"/>
          </w:tcPr>
          <w:p w14:paraId="2A81D5AF">
            <w:pPr>
              <w:shd w:val="clear"/>
              <w:spacing w:line="360" w:lineRule="auto"/>
              <w:jc w:val="left"/>
              <w:rPr>
                <w:rFonts w:ascii="仿宋" w:hAnsi="仿宋" w:eastAsia="仿宋" w:cs="仿宋"/>
                <w:color w:val="auto"/>
                <w:sz w:val="24"/>
                <w:highlight w:val="none"/>
              </w:rPr>
            </w:pPr>
            <w:r>
              <w:rPr>
                <w:rFonts w:hint="eastAsia" w:ascii="仿宋" w:hAnsi="仿宋" w:eastAsia="仿宋" w:cs="仿宋"/>
                <w:color w:val="auto"/>
                <w:sz w:val="24"/>
                <w:highlight w:val="none"/>
              </w:rPr>
              <w:t>开户名称：</w:t>
            </w:r>
          </w:p>
        </w:tc>
      </w:tr>
      <w:tr w14:paraId="6DB65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67B4164F">
            <w:pPr>
              <w:shd w:val="clear"/>
              <w:spacing w:line="360" w:lineRule="auto"/>
              <w:jc w:val="left"/>
              <w:rPr>
                <w:rFonts w:ascii="仿宋" w:hAnsi="仿宋" w:eastAsia="仿宋" w:cs="仿宋"/>
                <w:color w:val="auto"/>
                <w:sz w:val="24"/>
                <w:highlight w:val="none"/>
              </w:rPr>
            </w:pPr>
          </w:p>
        </w:tc>
        <w:tc>
          <w:tcPr>
            <w:tcW w:w="4629" w:type="dxa"/>
            <w:tcBorders>
              <w:top w:val="single" w:color="auto" w:sz="4" w:space="0"/>
              <w:left w:val="single" w:color="auto" w:sz="4" w:space="0"/>
              <w:bottom w:val="single" w:color="auto" w:sz="4" w:space="0"/>
              <w:right w:val="single" w:color="auto" w:sz="4" w:space="0"/>
            </w:tcBorders>
            <w:vAlign w:val="center"/>
          </w:tcPr>
          <w:p w14:paraId="02C8D594">
            <w:pPr>
              <w:shd w:val="clear"/>
              <w:spacing w:line="360" w:lineRule="auto"/>
              <w:jc w:val="left"/>
              <w:rPr>
                <w:rFonts w:ascii="仿宋" w:hAnsi="仿宋" w:eastAsia="仿宋" w:cs="仿宋"/>
                <w:color w:val="auto"/>
                <w:sz w:val="24"/>
                <w:highlight w:val="none"/>
              </w:rPr>
            </w:pPr>
            <w:r>
              <w:rPr>
                <w:rFonts w:hint="eastAsia" w:ascii="仿宋" w:hAnsi="仿宋" w:eastAsia="仿宋" w:cs="仿宋"/>
                <w:color w:val="auto"/>
                <w:sz w:val="24"/>
                <w:highlight w:val="none"/>
              </w:rPr>
              <w:t>企业规模：</w:t>
            </w:r>
          </w:p>
        </w:tc>
      </w:tr>
      <w:tr w14:paraId="2B6FF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0684FA44">
            <w:pPr>
              <w:shd w:val="clear"/>
              <w:spacing w:line="360" w:lineRule="auto"/>
              <w:jc w:val="left"/>
              <w:rPr>
                <w:rFonts w:ascii="仿宋" w:hAnsi="仿宋" w:eastAsia="仿宋" w:cs="仿宋"/>
                <w:color w:val="auto"/>
                <w:sz w:val="24"/>
                <w:highlight w:val="none"/>
              </w:rPr>
            </w:pPr>
          </w:p>
        </w:tc>
        <w:tc>
          <w:tcPr>
            <w:tcW w:w="4629" w:type="dxa"/>
            <w:tcBorders>
              <w:top w:val="single" w:color="auto" w:sz="4" w:space="0"/>
              <w:left w:val="single" w:color="auto" w:sz="4" w:space="0"/>
              <w:bottom w:val="single" w:color="auto" w:sz="4" w:space="0"/>
              <w:right w:val="single" w:color="auto" w:sz="4" w:space="0"/>
            </w:tcBorders>
            <w:vAlign w:val="center"/>
          </w:tcPr>
          <w:p w14:paraId="3681C504">
            <w:pPr>
              <w:shd w:val="clear"/>
              <w:spacing w:line="360" w:lineRule="auto"/>
              <w:jc w:val="left"/>
              <w:rPr>
                <w:rFonts w:ascii="仿宋" w:hAnsi="仿宋" w:eastAsia="仿宋" w:cs="仿宋"/>
                <w:color w:val="auto"/>
                <w:sz w:val="24"/>
                <w:highlight w:val="none"/>
              </w:rPr>
            </w:pPr>
            <w:r>
              <w:rPr>
                <w:rFonts w:hint="eastAsia" w:ascii="仿宋" w:hAnsi="仿宋" w:eastAsia="仿宋" w:cs="仿宋"/>
                <w:color w:val="auto"/>
                <w:sz w:val="24"/>
                <w:highlight w:val="none"/>
              </w:rPr>
              <w:t>纳税人识别号：</w:t>
            </w:r>
          </w:p>
        </w:tc>
      </w:tr>
      <w:tr w14:paraId="1DAD1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01F47359">
            <w:pPr>
              <w:shd w:val="clear"/>
              <w:spacing w:line="360" w:lineRule="auto"/>
              <w:jc w:val="left"/>
              <w:rPr>
                <w:rFonts w:ascii="仿宋" w:hAnsi="仿宋" w:eastAsia="仿宋" w:cs="仿宋"/>
                <w:color w:val="auto"/>
                <w:sz w:val="24"/>
                <w:highlight w:val="none"/>
              </w:rPr>
            </w:pPr>
            <w:r>
              <w:rPr>
                <w:rFonts w:hint="eastAsia" w:ascii="仿宋" w:hAnsi="仿宋" w:eastAsia="仿宋" w:cs="仿宋"/>
                <w:color w:val="auto"/>
                <w:sz w:val="24"/>
                <w:highlight w:val="none"/>
              </w:rPr>
              <w:t>日期：  年   月   日</w:t>
            </w:r>
          </w:p>
        </w:tc>
        <w:tc>
          <w:tcPr>
            <w:tcW w:w="4629" w:type="dxa"/>
            <w:tcBorders>
              <w:top w:val="single" w:color="auto" w:sz="4" w:space="0"/>
              <w:left w:val="single" w:color="auto" w:sz="4" w:space="0"/>
              <w:bottom w:val="single" w:color="auto" w:sz="4" w:space="0"/>
              <w:right w:val="single" w:color="auto" w:sz="4" w:space="0"/>
            </w:tcBorders>
            <w:vAlign w:val="center"/>
          </w:tcPr>
          <w:p w14:paraId="19F9C2A6">
            <w:pPr>
              <w:shd w:val="clear"/>
              <w:spacing w:line="360" w:lineRule="auto"/>
              <w:jc w:val="left"/>
              <w:rPr>
                <w:rFonts w:ascii="仿宋" w:hAnsi="仿宋" w:eastAsia="仿宋" w:cs="仿宋"/>
                <w:color w:val="auto"/>
                <w:sz w:val="24"/>
                <w:highlight w:val="none"/>
              </w:rPr>
            </w:pPr>
            <w:r>
              <w:rPr>
                <w:rFonts w:hint="eastAsia" w:ascii="仿宋" w:hAnsi="仿宋" w:eastAsia="仿宋" w:cs="仿宋"/>
                <w:color w:val="auto"/>
                <w:sz w:val="24"/>
                <w:highlight w:val="none"/>
              </w:rPr>
              <w:t>日期：  年   月   日</w:t>
            </w:r>
          </w:p>
        </w:tc>
      </w:tr>
    </w:tbl>
    <w:p w14:paraId="47C1318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5D176F"/>
    <w:rsid w:val="735D17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tabs>
        <w:tab w:val="left" w:pos="720"/>
      </w:tabs>
      <w:spacing w:line="0" w:lineRule="atLeast"/>
    </w:pPr>
    <w:rPr>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2025-10-16T03:17:00Z</dcterms:created>
  <dc:creator>j@x</dc:creator>
  <cp:lastModifiedBy>j@x</cp:lastModifiedBy>
  <dcterms:modified xsi:type="dcterms:W3CDTF">2025-10-16T03:18:17Z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3B31A7592C104776B49B092D1EC2B4BE_11</vt:lpwstr>
  </property>
  <property fmtid="{D5CDD505-2E9C-101B-9397-08002B2CF9AE}" pid="4" name="KSOTemplateDocerSaveRecord">
    <vt:lpwstr>eyJoZGlkIjoiZjE1YjQ4NWY2MWE2Y2ZiNzE4NTU1MjQ3YTY1ZWQwZjAiLCJ1c2VySWQiOiI1NTM3MTk1MjIifQ==</vt:lpwstr>
  </property>
</Properties>
</file>