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版本号：ZX2025-08-21(二次)20251015001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2025年度陕西环境空气污染预报决策支撑能力提升项目(二次)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ZX2025-08-21(二次)</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2025年度陕西环境空气污染预报决策支撑能力提升项目(二次)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ZX2025-08-21(二次)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2025年度陕西环境空气污染预报决策支撑能力提升项目(二次)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本项目为2025年度陕西环境空气污染预报决策支撑能力提升项目的项目监理包。具体内容详见招标文件第三章。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采购包1保证金金额：821.00元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代理服务费收费标准：各采购包招标代理服务费参照国家计委计价格[2002]1980号及发改办价格[2003]857号通知规定收费。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按照招标文件、投标文件与合同约定执行。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孙童欣</w:t>
      </w:r>
    </w:p>
    <w:p>
      <w:pPr>
        <w:pStyle w:val="null3"/>
      </w:pPr>
      <w:r>
        <w:rPr>
          <w:rFonts w:ascii="仿宋_GB2312" w:hAnsi="仿宋_GB2312" w:cs="仿宋_GB2312" w:eastAsia="仿宋_GB2312"/>
        </w:rPr>
        <w:t>联系电话：029-88110800转8033（邮箱号：1053910307@qq.com）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本项目为2025年度陕西环境空气污染预报决策支撑能力提升项目的项目监理，具体内容详见3.2服务内容及服务要求。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一、主要内容</w:t>
            </w:r>
          </w:p>
          <w:p>
            <w:pPr>
              <w:pStyle w:val="null3"/>
              <w:jc w:val="both"/>
            </w:pPr>
            <w:r>
              <w:rPr>
                <w:rFonts w:ascii="仿宋_GB2312" w:hAnsi="仿宋_GB2312" w:cs="仿宋_GB2312" w:eastAsia="仿宋_GB2312"/>
                <w:sz w:val="24"/>
              </w:rPr>
              <w:t>本包主要内容为对</w:t>
            </w:r>
            <w:r>
              <w:rPr>
                <w:rFonts w:ascii="仿宋_GB2312" w:hAnsi="仿宋_GB2312" w:cs="仿宋_GB2312" w:eastAsia="仿宋_GB2312"/>
                <w:sz w:val="24"/>
              </w:rPr>
              <w:t>2025年度陕西环境空气污染预报决策支撑能力提升</w:t>
            </w:r>
            <w:r>
              <w:rPr>
                <w:rFonts w:ascii="仿宋_GB2312" w:hAnsi="仿宋_GB2312" w:cs="仿宋_GB2312" w:eastAsia="仿宋_GB2312"/>
                <w:sz w:val="24"/>
              </w:rPr>
              <w:t>项目进行监理，针对项目计划审核、质量控制、进度管理、成本控制和风险管理等进行监督、控制和管理，确保项目按计划、质量、预算顺利实施并达成目标，同时需确保项目满足信创要求，最终提交监理报告。具体见下表。</w:t>
            </w:r>
          </w:p>
          <w:tbl>
            <w:tblPr>
              <w:tblBorders>
                <w:top w:val="none" w:color="000000" w:sz="4"/>
                <w:left w:val="none" w:color="000000" w:sz="4"/>
                <w:bottom w:val="none" w:color="000000" w:sz="4"/>
                <w:right w:val="none" w:color="000000" w:sz="4"/>
                <w:insideH w:val="none"/>
                <w:insideV w:val="none"/>
              </w:tblBorders>
            </w:tblPr>
            <w:tblGrid>
              <w:gridCol w:w="240"/>
              <w:gridCol w:w="442"/>
              <w:gridCol w:w="1826"/>
            </w:tblGrid>
            <w:tr>
              <w:tc>
                <w:tcPr>
                  <w:tcW w:type="dxa" w:w="24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要求</w:t>
                  </w:r>
                </w:p>
              </w:tc>
              <w:tc>
                <w:tcPr>
                  <w:tcW w:type="dxa" w:w="44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内容明细</w:t>
                  </w:r>
                </w:p>
              </w:tc>
              <w:tc>
                <w:tcPr>
                  <w:tcW w:type="dxa" w:w="1826"/>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项目指标</w:t>
                  </w:r>
                </w:p>
              </w:tc>
            </w:tr>
            <w:tr>
              <w:tc>
                <w:tcPr>
                  <w:tcW w:type="dxa" w:w="240"/>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项目监理</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前期准备阶段</w:t>
                  </w:r>
                </w:p>
              </w:tc>
              <w:tc>
                <w:tcPr>
                  <w:tcW w:type="dxa" w:w="182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对项目需求分析与规划进行审查，确保需求清晰、可行且符合业务目标。</w:t>
                  </w:r>
                </w:p>
                <w:p>
                  <w:pPr>
                    <w:pStyle w:val="null3"/>
                    <w:jc w:val="both"/>
                  </w:pPr>
                  <w:r>
                    <w:rPr>
                      <w:rFonts w:ascii="仿宋_GB2312" w:hAnsi="仿宋_GB2312" w:cs="仿宋_GB2312" w:eastAsia="仿宋_GB2312"/>
                      <w:sz w:val="21"/>
                      <w:color w:val="000000"/>
                    </w:rPr>
                    <w:t>监督招标过程，确保程序合规；审核合同条款，明确各方责任、验收标准及违约责任。</w:t>
                  </w:r>
                </w:p>
              </w:tc>
            </w:tr>
            <w:tr>
              <w:tc>
                <w:tcPr>
                  <w:tcW w:type="dxa" w:w="240"/>
                  <w:vMerge/>
                  <w:tcBorders>
                    <w:top w:val="single" w:color="000000" w:sz="4"/>
                    <w:left w:val="single" w:color="000000" w:sz="8"/>
                    <w:bottom w:val="single" w:color="000000" w:sz="4"/>
                    <w:right w:val="single" w:color="000000" w:sz="4"/>
                  </w:tcBorders>
                </w:tcP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实施阶段</w:t>
                  </w:r>
                </w:p>
              </w:tc>
              <w:tc>
                <w:tcPr>
                  <w:tcW w:type="dxa" w:w="182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控制项目整体实施进度与质量，进行变更管理评估、积极协调沟通，确保项目得以顺利实施并达成目标。</w:t>
                  </w:r>
                </w:p>
              </w:tc>
            </w:tr>
            <w:tr>
              <w:tc>
                <w:tcPr>
                  <w:tcW w:type="dxa" w:w="240"/>
                  <w:vMerge/>
                  <w:tcBorders>
                    <w:top w:val="single" w:color="000000" w:sz="4"/>
                    <w:left w:val="single" w:color="000000" w:sz="8"/>
                    <w:bottom w:val="single" w:color="000000" w:sz="4"/>
                    <w:right w:val="single" w:color="000000" w:sz="4"/>
                  </w:tcBorders>
                </w:tcP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验收阶段</w:t>
                  </w:r>
                </w:p>
              </w:tc>
              <w:tc>
                <w:tcPr>
                  <w:tcW w:type="dxa" w:w="182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监督测试过程，审核验收文档</w:t>
                  </w:r>
                  <w:r>
                    <w:rPr>
                      <w:rFonts w:ascii="仿宋_GB2312" w:hAnsi="仿宋_GB2312" w:cs="仿宋_GB2312" w:eastAsia="仿宋_GB2312"/>
                      <w:sz w:val="21"/>
                      <w:color w:val="000000"/>
                    </w:rPr>
                    <w:t>(如测试报告、操作手册、分析报告等)。</w:t>
                  </w:r>
                </w:p>
                <w:p>
                  <w:pPr>
                    <w:pStyle w:val="null3"/>
                    <w:jc w:val="both"/>
                  </w:pPr>
                  <w:r>
                    <w:rPr>
                      <w:rFonts w:ascii="仿宋_GB2312" w:hAnsi="仿宋_GB2312" w:cs="仿宋_GB2312" w:eastAsia="仿宋_GB2312"/>
                      <w:sz w:val="21"/>
                      <w:color w:val="000000"/>
                    </w:rPr>
                    <w:t>确保知识转移，检查承建方提供的培训是否到位。</w:t>
                  </w:r>
                </w:p>
              </w:tc>
            </w:tr>
            <w:tr>
              <w:tc>
                <w:tcPr>
                  <w:tcW w:type="dxa" w:w="240"/>
                  <w:vMerge/>
                  <w:tcBorders>
                    <w:top w:val="single" w:color="000000" w:sz="4"/>
                    <w:left w:val="single" w:color="000000" w:sz="8"/>
                    <w:bottom w:val="single" w:color="000000" w:sz="4"/>
                    <w:right w:val="single" w:color="000000" w:sz="4"/>
                  </w:tcBorders>
                </w:tcP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通用监理职责</w:t>
                  </w:r>
                </w:p>
              </w:tc>
              <w:tc>
                <w:tcPr>
                  <w:tcW w:type="dxa" w:w="182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确保项目符合国家</w:t>
                  </w:r>
                  <w:r>
                    <w:rPr>
                      <w:rFonts w:ascii="仿宋_GB2312" w:hAnsi="仿宋_GB2312" w:cs="仿宋_GB2312" w:eastAsia="仿宋_GB2312"/>
                      <w:sz w:val="21"/>
                      <w:color w:val="000000"/>
                    </w:rPr>
                    <w:t>/行业标准(如等保2.0、数据安全法)、确保所有项目文档完整、规范。识别潜在风险(如技术瓶颈、人员流失)，提出应对措施。</w:t>
                  </w:r>
                </w:p>
                <w:p>
                  <w:pPr>
                    <w:pStyle w:val="null3"/>
                    <w:jc w:val="both"/>
                  </w:pPr>
                  <w:r>
                    <w:rPr>
                      <w:rFonts w:ascii="仿宋_GB2312" w:hAnsi="仿宋_GB2312" w:cs="仿宋_GB2312" w:eastAsia="仿宋_GB2312"/>
                      <w:sz w:val="21"/>
                      <w:color w:val="000000"/>
                    </w:rPr>
                    <w:t>确保项目全程为全国产化。</w:t>
                  </w:r>
                </w:p>
              </w:tc>
            </w:tr>
            <w:tr>
              <w:tc>
                <w:tcPr>
                  <w:tcW w:type="dxa" w:w="240"/>
                  <w:vMerge/>
                  <w:tcBorders>
                    <w:top w:val="single" w:color="000000" w:sz="4"/>
                    <w:left w:val="single" w:color="000000" w:sz="8"/>
                    <w:bottom w:val="single" w:color="000000" w:sz="4"/>
                    <w:right w:val="single" w:color="000000" w:sz="4"/>
                  </w:tcBorders>
                </w:tcPr>
                <w:p/>
              </w:tc>
              <w:tc>
                <w:tcPr>
                  <w:tcW w:type="dxa" w:w="44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监理结果</w:t>
                  </w:r>
                </w:p>
              </w:tc>
              <w:tc>
                <w:tcPr>
                  <w:tcW w:type="dxa" w:w="182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按项目分包提供监理报告</w:t>
                  </w:r>
                </w:p>
              </w:tc>
            </w:tr>
          </w:tbl>
          <w:p>
            <w:pPr>
              <w:pStyle w:val="null3"/>
              <w:jc w:val="both"/>
            </w:pPr>
            <w:r>
              <w:rPr>
                <w:rFonts w:ascii="仿宋_GB2312" w:hAnsi="仿宋_GB2312" w:cs="仿宋_GB2312" w:eastAsia="仿宋_GB2312"/>
                <w:sz w:val="21"/>
              </w:rPr>
              <w:t>二、技术</w:t>
            </w:r>
            <w:r>
              <w:rPr>
                <w:rFonts w:ascii="仿宋_GB2312" w:hAnsi="仿宋_GB2312" w:cs="仿宋_GB2312" w:eastAsia="仿宋_GB2312"/>
                <w:sz w:val="24"/>
              </w:rPr>
              <w:t>要求</w:t>
            </w:r>
          </w:p>
          <w:p>
            <w:pPr>
              <w:pStyle w:val="null3"/>
              <w:jc w:val="both"/>
            </w:pPr>
            <w:r>
              <w:rPr>
                <w:rFonts w:ascii="仿宋_GB2312" w:hAnsi="仿宋_GB2312" w:cs="仿宋_GB2312" w:eastAsia="仿宋_GB2312"/>
                <w:sz w:val="24"/>
              </w:rPr>
              <w:t>1.前期准备阶段</w:t>
            </w:r>
          </w:p>
          <w:p>
            <w:pPr>
              <w:pStyle w:val="null3"/>
              <w:jc w:val="both"/>
            </w:pPr>
            <w:r>
              <w:rPr>
                <w:rFonts w:ascii="仿宋_GB2312" w:hAnsi="仿宋_GB2312" w:cs="仿宋_GB2312" w:eastAsia="仿宋_GB2312"/>
                <w:sz w:val="24"/>
              </w:rPr>
              <w:t>1.1需求分析与规划审查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1）审核用户需求文档，确保需求清晰、可行且符合业务目标。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2）参与项目可行性研究，评估技术方案和预算的合理性。</w:t>
            </w:r>
          </w:p>
          <w:p>
            <w:pPr>
              <w:pStyle w:val="null3"/>
              <w:jc w:val="both"/>
            </w:pPr>
            <w:r>
              <w:rPr>
                <w:rFonts w:ascii="仿宋_GB2312" w:hAnsi="仿宋_GB2312" w:cs="仿宋_GB2312" w:eastAsia="仿宋_GB2312"/>
                <w:sz w:val="24"/>
              </w:rPr>
              <w:t>2实施阶段</w:t>
            </w:r>
          </w:p>
          <w:p>
            <w:pPr>
              <w:pStyle w:val="null3"/>
              <w:jc w:val="both"/>
            </w:pPr>
            <w:r>
              <w:rPr>
                <w:rFonts w:ascii="仿宋_GB2312" w:hAnsi="仿宋_GB2312" w:cs="仿宋_GB2312" w:eastAsia="仿宋_GB2312"/>
                <w:sz w:val="24"/>
              </w:rPr>
              <w:t>2.1进度控制</w:t>
            </w:r>
          </w:p>
          <w:p>
            <w:pPr>
              <w:pStyle w:val="null3"/>
              <w:jc w:val="both"/>
            </w:pPr>
            <w:r>
              <w:rPr>
                <w:rFonts w:ascii="仿宋_GB2312" w:hAnsi="仿宋_GB2312" w:cs="仿宋_GB2312" w:eastAsia="仿宋_GB2312"/>
                <w:sz w:val="24"/>
              </w:rPr>
              <w:t>监理机构需对项目进度进行跟踪和控制，确保各项任务按照计划有序推进。及时发现并解决影响进度的问题，并向业主提供相应的建议和意见。包括但不限于：（</w:t>
            </w:r>
            <w:r>
              <w:rPr>
                <w:rFonts w:ascii="仿宋_GB2312" w:hAnsi="仿宋_GB2312" w:cs="仿宋_GB2312" w:eastAsia="仿宋_GB2312"/>
                <w:sz w:val="24"/>
              </w:rPr>
              <w:t>1）监督项目计划执行，定期检查进度，协调解决延期风险。（2）审核关键节点(如需求确认、原型设计、系统测试)的交付成果。</w:t>
            </w:r>
          </w:p>
          <w:p>
            <w:pPr>
              <w:pStyle w:val="null3"/>
              <w:jc w:val="both"/>
            </w:pPr>
            <w:r>
              <w:rPr>
                <w:rFonts w:ascii="仿宋_GB2312" w:hAnsi="仿宋_GB2312" w:cs="仿宋_GB2312" w:eastAsia="仿宋_GB2312"/>
                <w:sz w:val="24"/>
              </w:rPr>
              <w:t>2.2质量控制</w:t>
            </w:r>
          </w:p>
          <w:p>
            <w:pPr>
              <w:pStyle w:val="null3"/>
              <w:jc w:val="both"/>
            </w:pPr>
            <w:r>
              <w:rPr>
                <w:rFonts w:ascii="仿宋_GB2312" w:hAnsi="仿宋_GB2312" w:cs="仿宋_GB2312" w:eastAsia="仿宋_GB2312"/>
                <w:sz w:val="24"/>
              </w:rPr>
              <w:t>监理团队负责对项目的质量进行全面检查，包括（</w:t>
            </w:r>
            <w:r>
              <w:rPr>
                <w:rFonts w:ascii="仿宋_GB2312" w:hAnsi="仿宋_GB2312" w:cs="仿宋_GB2312" w:eastAsia="仿宋_GB2312"/>
                <w:sz w:val="24"/>
              </w:rPr>
              <w:t>1）检查开发是否符合技术规范(如编码标准、网络安全要求)；（2）组织阶段性评审(如设计评审、代码走查、压力测试）等，确保项目交付成果符合质量要求。</w:t>
            </w:r>
          </w:p>
          <w:p>
            <w:pPr>
              <w:pStyle w:val="null3"/>
              <w:jc w:val="both"/>
            </w:pPr>
            <w:r>
              <w:rPr>
                <w:rFonts w:ascii="仿宋_GB2312" w:hAnsi="仿宋_GB2312" w:cs="仿宋_GB2312" w:eastAsia="仿宋_GB2312"/>
                <w:sz w:val="24"/>
              </w:rPr>
              <w:t>2.3变更管理</w:t>
            </w:r>
          </w:p>
          <w:p>
            <w:pPr>
              <w:pStyle w:val="null3"/>
              <w:jc w:val="both"/>
            </w:pPr>
            <w:r>
              <w:rPr>
                <w:rFonts w:ascii="仿宋_GB2312" w:hAnsi="仿宋_GB2312" w:cs="仿宋_GB2312" w:eastAsia="仿宋_GB2312"/>
                <w:sz w:val="24"/>
              </w:rPr>
              <w:t>审核变更申请，评估对成本、进度的影响，避免随意变更。</w:t>
            </w:r>
          </w:p>
          <w:p>
            <w:pPr>
              <w:pStyle w:val="null3"/>
              <w:jc w:val="both"/>
            </w:pPr>
            <w:r>
              <w:rPr>
                <w:rFonts w:ascii="仿宋_GB2312" w:hAnsi="仿宋_GB2312" w:cs="仿宋_GB2312" w:eastAsia="仿宋_GB2312"/>
                <w:sz w:val="24"/>
              </w:rPr>
              <w:t>2.4沟通协调</w:t>
            </w:r>
          </w:p>
          <w:p>
            <w:pPr>
              <w:pStyle w:val="null3"/>
              <w:jc w:val="both"/>
            </w:pPr>
            <w:r>
              <w:rPr>
                <w:rFonts w:ascii="仿宋_GB2312" w:hAnsi="仿宋_GB2312" w:cs="仿宋_GB2312" w:eastAsia="仿宋_GB2312"/>
                <w:sz w:val="24"/>
              </w:rPr>
              <w:t>组织项目例会，协调业主、承建方、第三方之间的争议，促进信息共享，确保项目各方对项目目标和进展有一致的理解和认同。</w:t>
            </w:r>
          </w:p>
          <w:p>
            <w:pPr>
              <w:pStyle w:val="null3"/>
              <w:jc w:val="both"/>
            </w:pPr>
            <w:r>
              <w:rPr>
                <w:rFonts w:ascii="仿宋_GB2312" w:hAnsi="仿宋_GB2312" w:cs="仿宋_GB2312" w:eastAsia="仿宋_GB2312"/>
                <w:sz w:val="24"/>
              </w:rPr>
              <w:t>3验收阶段</w:t>
            </w:r>
          </w:p>
          <w:p>
            <w:pPr>
              <w:pStyle w:val="null3"/>
              <w:jc w:val="both"/>
            </w:pPr>
            <w:r>
              <w:rPr>
                <w:rFonts w:ascii="仿宋_GB2312" w:hAnsi="仿宋_GB2312" w:cs="仿宋_GB2312" w:eastAsia="仿宋_GB2312"/>
                <w:sz w:val="24"/>
              </w:rPr>
              <w:t>3.1系统测试与验收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1）监督测试过程(如单元测试、集成测试、用户验收测试等)。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2）审核验收文档(如测试报告、操作手册、分析报告等)。</w:t>
            </w:r>
          </w:p>
          <w:p>
            <w:pPr>
              <w:pStyle w:val="null3"/>
              <w:jc w:val="both"/>
            </w:pPr>
            <w:r>
              <w:rPr>
                <w:rFonts w:ascii="仿宋_GB2312" w:hAnsi="仿宋_GB2312" w:cs="仿宋_GB2312" w:eastAsia="仿宋_GB2312"/>
                <w:sz w:val="24"/>
              </w:rPr>
              <w:t>3.2移交与培训</w:t>
            </w:r>
          </w:p>
          <w:p>
            <w:pPr>
              <w:pStyle w:val="null3"/>
              <w:jc w:val="both"/>
            </w:pPr>
            <w:r>
              <w:rPr>
                <w:rFonts w:ascii="仿宋_GB2312" w:hAnsi="仿宋_GB2312" w:cs="仿宋_GB2312" w:eastAsia="仿宋_GB2312"/>
                <w:sz w:val="24"/>
              </w:rPr>
              <w:t>确保知识转移，检查承建方提供的培训是否到位。</w:t>
            </w:r>
          </w:p>
          <w:p>
            <w:pPr>
              <w:pStyle w:val="null3"/>
              <w:jc w:val="both"/>
            </w:pPr>
            <w:r>
              <w:rPr>
                <w:rFonts w:ascii="仿宋_GB2312" w:hAnsi="仿宋_GB2312" w:cs="仿宋_GB2312" w:eastAsia="仿宋_GB2312"/>
                <w:sz w:val="24"/>
              </w:rPr>
              <w:t>4通用监理职责</w:t>
            </w:r>
          </w:p>
          <w:p>
            <w:pPr>
              <w:pStyle w:val="null3"/>
              <w:jc w:val="both"/>
            </w:pPr>
            <w:r>
              <w:rPr>
                <w:rFonts w:ascii="仿宋_GB2312" w:hAnsi="仿宋_GB2312" w:cs="仿宋_GB2312" w:eastAsia="仿宋_GB2312"/>
                <w:sz w:val="24"/>
              </w:rPr>
              <w:t>4.1文档管理</w:t>
            </w:r>
          </w:p>
          <w:p>
            <w:pPr>
              <w:pStyle w:val="null3"/>
              <w:jc w:val="both"/>
            </w:pPr>
            <w:r>
              <w:rPr>
                <w:rFonts w:ascii="仿宋_GB2312" w:hAnsi="仿宋_GB2312" w:cs="仿宋_GB2312" w:eastAsia="仿宋_GB2312"/>
                <w:sz w:val="24"/>
              </w:rPr>
              <w:t>确保项目文档</w:t>
            </w:r>
            <w:r>
              <w:rPr>
                <w:rFonts w:ascii="仿宋_GB2312" w:hAnsi="仿宋_GB2312" w:cs="仿宋_GB2312" w:eastAsia="仿宋_GB2312"/>
                <w:sz w:val="24"/>
              </w:rPr>
              <w:t>(需求说明书、设计文档、会议纪要等项目文档)完整、规范。</w:t>
            </w:r>
          </w:p>
          <w:p>
            <w:pPr>
              <w:pStyle w:val="null3"/>
              <w:jc w:val="both"/>
            </w:pPr>
            <w:r>
              <w:rPr>
                <w:rFonts w:ascii="仿宋_GB2312" w:hAnsi="仿宋_GB2312" w:cs="仿宋_GB2312" w:eastAsia="仿宋_GB2312"/>
                <w:sz w:val="24"/>
              </w:rPr>
              <w:t>4.2风险管理</w:t>
            </w:r>
          </w:p>
          <w:p>
            <w:pPr>
              <w:pStyle w:val="null3"/>
              <w:jc w:val="both"/>
            </w:pPr>
            <w:r>
              <w:rPr>
                <w:rFonts w:ascii="仿宋_GB2312" w:hAnsi="仿宋_GB2312" w:cs="仿宋_GB2312" w:eastAsia="仿宋_GB2312"/>
                <w:sz w:val="24"/>
              </w:rPr>
              <w:t>识别潜在风险</w:t>
            </w:r>
            <w:r>
              <w:rPr>
                <w:rFonts w:ascii="仿宋_GB2312" w:hAnsi="仿宋_GB2312" w:cs="仿宋_GB2312" w:eastAsia="仿宋_GB2312"/>
                <w:sz w:val="24"/>
              </w:rPr>
              <w:t>(如技术瓶颈、人员流失)，提出应对措施。</w:t>
            </w:r>
          </w:p>
          <w:p>
            <w:pPr>
              <w:pStyle w:val="null3"/>
              <w:jc w:val="both"/>
            </w:pPr>
            <w:r>
              <w:rPr>
                <w:rFonts w:ascii="仿宋_GB2312" w:hAnsi="仿宋_GB2312" w:cs="仿宋_GB2312" w:eastAsia="仿宋_GB2312"/>
                <w:sz w:val="24"/>
              </w:rPr>
              <w:t>4.3合规性检查</w:t>
            </w:r>
          </w:p>
          <w:p>
            <w:pPr>
              <w:pStyle w:val="null3"/>
              <w:jc w:val="both"/>
            </w:pPr>
            <w:r>
              <w:rPr>
                <w:rFonts w:ascii="仿宋_GB2312" w:hAnsi="仿宋_GB2312" w:cs="仿宋_GB2312" w:eastAsia="仿宋_GB2312"/>
                <w:sz w:val="24"/>
              </w:rPr>
              <w:t>确保项目符合国家</w:t>
            </w:r>
            <w:r>
              <w:rPr>
                <w:rFonts w:ascii="仿宋_GB2312" w:hAnsi="仿宋_GB2312" w:cs="仿宋_GB2312" w:eastAsia="仿宋_GB2312"/>
                <w:sz w:val="24"/>
              </w:rPr>
              <w:t>/行业标准(如等保2.0、数据安全法)。</w:t>
            </w:r>
          </w:p>
          <w:p>
            <w:pPr>
              <w:pStyle w:val="null3"/>
              <w:jc w:val="both"/>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自签订合同之日起至2026年5月，具体以合同约定为准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陕西省环境监测中心站指定地点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终止合同，同时报请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响应文件，同时，线下提交纸质版投标文件壹套。若线上电子投标文件与纸质投标文件不一致的，以线上电子投标文件为准。线下递交文件时间：详见本项目招标公告提交投标文件截止时间；线下递交文件地点：西安市莲湖区环城西路南段元晟合中心6层。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项目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交货时间、交货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监狱企业的证明文件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监理职责</w:t>
            </w:r>
          </w:p>
        </w:tc>
        <w:tc>
          <w:tcPr>
            <w:tcW w:type="dxa" w:w="2492"/>
          </w:tcPr>
          <w:p>
            <w:pPr>
              <w:pStyle w:val="null3"/>
            </w:pPr>
            <w:r>
              <w:rPr>
                <w:rFonts w:ascii="仿宋_GB2312" w:hAnsi="仿宋_GB2312" w:cs="仿宋_GB2312" w:eastAsia="仿宋_GB2312"/>
              </w:rPr>
              <w:t>针对本项目提供详细的①监理职责范围②服务安全的管理措施③文明服务的管理措施。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1监理职责.docx</w:t>
            </w:r>
          </w:p>
        </w:tc>
      </w:tr>
      <w:tr>
        <w:tc>
          <w:tcPr>
            <w:tcW w:type="dxa" w:w="831"/>
            <w:vMerge/>
          </w:tcP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投标人依托技术依据提供对本项目的监理实施方案，内容应包括监理内容、针对项目实施各阶段监理方法及流程。 完全满足采购需求，无瑕疵：12分； 内容存在1处瑕疵：10分； 内容存在2处瑕疵：8分； 内容存在3处瑕疵：6分； 内容存在4处瑕疵：4分； 内容存在5处瑕疵：2分； 未提供或内容存在6处及以上瑕疵：0分。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2监理实施方案.docx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能够提出针对本项目的档案管理方案。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3档案管理.docx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对项目实施各阶段具有进度控制方法和措施、流程等，满足项目进度控制需要。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4进度控制方案.docx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制定严格质量控制方案，监理工程师全程监督，对项目实施各阶段的质量严格把控。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5质量控制方案.docx</w:t>
            </w:r>
          </w:p>
        </w:tc>
      </w:tr>
      <w:tr>
        <w:tc>
          <w:tcPr>
            <w:tcW w:type="dxa" w:w="831"/>
            <w:vMerge/>
          </w:tcPr>
          <w:p/>
        </w:tc>
        <w:tc>
          <w:tcPr>
            <w:tcW w:type="dxa" w:w="1661"/>
          </w:tcPr>
          <w:p>
            <w:pPr>
              <w:pStyle w:val="null3"/>
            </w:pPr>
            <w:r>
              <w:rPr>
                <w:rFonts w:ascii="仿宋_GB2312" w:hAnsi="仿宋_GB2312" w:cs="仿宋_GB2312" w:eastAsia="仿宋_GB2312"/>
              </w:rPr>
              <w:t>经费控制方案</w:t>
            </w:r>
          </w:p>
        </w:tc>
        <w:tc>
          <w:tcPr>
            <w:tcW w:type="dxa" w:w="2492"/>
          </w:tcPr>
          <w:p>
            <w:pPr>
              <w:pStyle w:val="null3"/>
            </w:pPr>
            <w:r>
              <w:rPr>
                <w:rFonts w:ascii="仿宋_GB2312" w:hAnsi="仿宋_GB2312" w:cs="仿宋_GB2312" w:eastAsia="仿宋_GB2312"/>
              </w:rPr>
              <w:t>提供项目经费投资控制的措施，符合该项目投资控制的需要。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6经费控制方案.docx</w:t>
            </w:r>
          </w:p>
        </w:tc>
      </w:tr>
      <w:tr>
        <w:tc>
          <w:tcPr>
            <w:tcW w:type="dxa" w:w="831"/>
            <w:vMerge/>
          </w:tcPr>
          <w:p/>
        </w:tc>
        <w:tc>
          <w:tcPr>
            <w:tcW w:type="dxa" w:w="1661"/>
          </w:tcPr>
          <w:p>
            <w:pPr>
              <w:pStyle w:val="null3"/>
            </w:pPr>
            <w:r>
              <w:rPr>
                <w:rFonts w:ascii="仿宋_GB2312" w:hAnsi="仿宋_GB2312" w:cs="仿宋_GB2312" w:eastAsia="仿宋_GB2312"/>
              </w:rPr>
              <w:t>风险管理方案</w:t>
            </w:r>
          </w:p>
        </w:tc>
        <w:tc>
          <w:tcPr>
            <w:tcW w:type="dxa" w:w="2492"/>
          </w:tcPr>
          <w:p>
            <w:pPr>
              <w:pStyle w:val="null3"/>
            </w:pPr>
            <w:r>
              <w:rPr>
                <w:rFonts w:ascii="仿宋_GB2312" w:hAnsi="仿宋_GB2312" w:cs="仿宋_GB2312" w:eastAsia="仿宋_GB2312"/>
              </w:rPr>
              <w:t>投标人针对本项目提供潜在风险分析（如技术瓶颈、人员流失等），并提出应对措施。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7风险管理方案.docx</w:t>
            </w:r>
          </w:p>
        </w:tc>
      </w:tr>
      <w:tr>
        <w:tc>
          <w:tcPr>
            <w:tcW w:type="dxa" w:w="831"/>
            <w:vMerge/>
          </w:tcPr>
          <w:p/>
        </w:tc>
        <w:tc>
          <w:tcPr>
            <w:tcW w:type="dxa" w:w="1661"/>
          </w:tcPr>
          <w:p>
            <w:pPr>
              <w:pStyle w:val="null3"/>
            </w:pPr>
            <w:r>
              <w:rPr>
                <w:rFonts w:ascii="仿宋_GB2312" w:hAnsi="仿宋_GB2312" w:cs="仿宋_GB2312" w:eastAsia="仿宋_GB2312"/>
              </w:rPr>
              <w:t>合理化咨询建议</w:t>
            </w:r>
          </w:p>
        </w:tc>
        <w:tc>
          <w:tcPr>
            <w:tcW w:type="dxa" w:w="2492"/>
          </w:tcPr>
          <w:p>
            <w:pPr>
              <w:pStyle w:val="null3"/>
            </w:pPr>
            <w:r>
              <w:rPr>
                <w:rFonts w:ascii="仿宋_GB2312" w:hAnsi="仿宋_GB2312" w:cs="仿宋_GB2312" w:eastAsia="仿宋_GB2312"/>
              </w:rPr>
              <w:t>结合以往同类项目经验，提供针对本项目的监理咨询建议。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8合理化咨询建议.docx</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具有监理工程师职业资格计3分，未提供不计分。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9总监理工程师.docx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投标人针对本项目有具体的人员配置安排，配置齐全、岗位分配明确、团队人员经验丰富（提供相关专业资质证书、学历证明、工作履历等相关证明材料）。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提供投标人2023年1月1日至今同类项目合同得2分。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针对本项目监理提供快速及时的服务响应；承诺解决问题的时限迅速、有应急预案；承诺最终提交的成果资料真实准确。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详见附件：1监理职责.docx</w:t>
      </w:r>
    </w:p>
    <w:p>
      <w:pPr>
        <w:pStyle w:val="null3"/>
        <w:ind w:firstLine="960"/>
      </w:pPr>
      <w:r>
        <w:rPr>
          <w:rFonts w:ascii="仿宋_GB2312" w:hAnsi="仿宋_GB2312" w:cs="仿宋_GB2312" w:eastAsia="仿宋_GB2312"/>
        </w:rPr>
        <w:t>详见附件：2监理实施方案.docx</w:t>
      </w:r>
    </w:p>
    <w:p>
      <w:pPr>
        <w:pStyle w:val="null3"/>
        <w:ind w:firstLine="960"/>
      </w:pPr>
      <w:r>
        <w:rPr>
          <w:rFonts w:ascii="仿宋_GB2312" w:hAnsi="仿宋_GB2312" w:cs="仿宋_GB2312" w:eastAsia="仿宋_GB2312"/>
        </w:rPr>
        <w:t>详见附件：3档案管理.docx</w:t>
      </w:r>
    </w:p>
    <w:p>
      <w:pPr>
        <w:pStyle w:val="null3"/>
        <w:ind w:firstLine="960"/>
      </w:pPr>
      <w:r>
        <w:rPr>
          <w:rFonts w:ascii="仿宋_GB2312" w:hAnsi="仿宋_GB2312" w:cs="仿宋_GB2312" w:eastAsia="仿宋_GB2312"/>
        </w:rPr>
        <w:t>详见附件：4进度控制方案.docx</w:t>
      </w:r>
    </w:p>
    <w:p>
      <w:pPr>
        <w:pStyle w:val="null3"/>
        <w:ind w:firstLine="960"/>
      </w:pPr>
      <w:r>
        <w:rPr>
          <w:rFonts w:ascii="仿宋_GB2312" w:hAnsi="仿宋_GB2312" w:cs="仿宋_GB2312" w:eastAsia="仿宋_GB2312"/>
        </w:rPr>
        <w:t>详见附件：5质量控制方案.docx</w:t>
      </w:r>
    </w:p>
    <w:p>
      <w:pPr>
        <w:pStyle w:val="null3"/>
        <w:ind w:firstLine="960"/>
      </w:pPr>
      <w:r>
        <w:rPr>
          <w:rFonts w:ascii="仿宋_GB2312" w:hAnsi="仿宋_GB2312" w:cs="仿宋_GB2312" w:eastAsia="仿宋_GB2312"/>
        </w:rPr>
        <w:t>详见附件：6经费控制方案.docx</w:t>
      </w:r>
    </w:p>
    <w:p>
      <w:pPr>
        <w:pStyle w:val="null3"/>
        <w:ind w:firstLine="960"/>
      </w:pPr>
      <w:r>
        <w:rPr>
          <w:rFonts w:ascii="仿宋_GB2312" w:hAnsi="仿宋_GB2312" w:cs="仿宋_GB2312" w:eastAsia="仿宋_GB2312"/>
        </w:rPr>
        <w:t>详见附件：7风险管理方案.docx</w:t>
      </w:r>
    </w:p>
    <w:p>
      <w:pPr>
        <w:pStyle w:val="null3"/>
        <w:ind w:firstLine="960"/>
      </w:pPr>
      <w:r>
        <w:rPr>
          <w:rFonts w:ascii="仿宋_GB2312" w:hAnsi="仿宋_GB2312" w:cs="仿宋_GB2312" w:eastAsia="仿宋_GB2312"/>
        </w:rPr>
        <w:t>详见附件：8合理化咨询建议.docx</w:t>
      </w:r>
    </w:p>
    <w:p>
      <w:pPr>
        <w:pStyle w:val="null3"/>
        <w:ind w:firstLine="960"/>
      </w:pPr>
      <w:r>
        <w:rPr>
          <w:rFonts w:ascii="仿宋_GB2312" w:hAnsi="仿宋_GB2312" w:cs="仿宋_GB2312" w:eastAsia="仿宋_GB2312"/>
        </w:rPr>
        <w:t>详见附件：9总监理工程师.docx</w:t>
      </w:r>
    </w:p>
    <w:p>
      <w:pPr>
        <w:pStyle w:val="null3"/>
        <w:ind w:firstLine="960"/>
      </w:pPr>
      <w:r>
        <w:rPr>
          <w:rFonts w:ascii="仿宋_GB2312" w:hAnsi="仿宋_GB2312" w:cs="仿宋_GB2312" w:eastAsia="仿宋_GB2312"/>
        </w:rPr>
        <w:t>详见附件：10项目团队.docx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详见附件：12服务响应.docx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