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版本号：HXGJXM2025-ZC--CS109520251015001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院容院貌整体提升项目(二次)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HXGJXM2025-ZC--CS1095</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院容院貌整体提升项目(二次)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HXGJXM2025-ZC--CS1095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院容院貌整体提升项目(二次)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项目地处西安市雁塔区电子二路 52 号陕西省康复医院院内，核心任务是对院内楼体外立面实施改造施工。其中，临床楼已投入使用 23年以上，其外墙饰面部分现状为粘贴瓷砖装饰面层，目前存在较多开裂、空鼓现象，且极易脱落，这一情况已对患者及医务人员的出行安全构成威胁。 基于此，本次计划采用喷刷真石漆等工艺对建筑外立面进行改造，改造面积约 7500 平方米。工程内容涵盖建筑工程、装饰装修工程、安装工程等多个施工环节。 该项目的整体要求明确，既要通过改造切实改善院区的整体院容院貌，提升院区的视觉形象与环境品质，又要确保在规定工期内顺利完成全部施工任务，保障医院的正常运转不受过多影响。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采购包1（院容院貌整体提升项目）：属于专门面向中小企业采购。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提供投标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2、单位资质：供应商应具备建设行政主管部门核发的房屋建筑工程施工总承包三级及以上资质，具有有效的安全生产许可证；</w:t>
      </w:r>
    </w:p>
    <w:p>
      <w:pPr>
        <w:pStyle w:val="null3"/>
      </w:pPr>
      <w:r>
        <w:rPr>
          <w:rFonts w:ascii="仿宋_GB2312" w:hAnsi="仿宋_GB2312" w:cs="仿宋_GB2312" w:eastAsia="仿宋_GB2312"/>
        </w:rPr>
        <w:t>3、项目负责人：项目负责人需具备建筑工程专业二级及以上注册建造师执业资格和有效的安全生产考核证书（B证）在本单位注册，且无在建工程、无不良记录（提供无在建工程、无不良记录承诺书）；</w:t>
      </w:r>
    </w:p>
    <w:p>
      <w:pPr>
        <w:pStyle w:val="null3"/>
      </w:pPr>
      <w:r>
        <w:rPr>
          <w:rFonts w:ascii="仿宋_GB2312" w:hAnsi="仿宋_GB2312" w:cs="仿宋_GB2312" w:eastAsia="仿宋_GB2312"/>
        </w:rPr>
        <w:t>4、信用信息：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采购办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办公厅关于采购代理服务收费有关问题的通知》(发改办价格[2003]857号)、原国家计委关于《采购代理服务收费管理暂行办法》(计价格[2002]1980号)及发改办[2011]534号文规定的收费标准下浮15%收取。 招标代理服务费账户： 户名：华夏国际项目管理（西安）有限公司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陕西省康复医院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联系人：丁杰、康敏茹、雷鸣、张艳萍</w:t>
      </w:r>
    </w:p>
    <w:p>
      <w:pPr>
        <w:pStyle w:val="null3"/>
      </w:pPr>
      <w:r>
        <w:rPr>
          <w:rFonts w:ascii="仿宋_GB2312" w:hAnsi="仿宋_GB2312" w:cs="仿宋_GB2312" w:eastAsia="仿宋_GB2312"/>
        </w:rPr>
        <w:t>联系电话：029-88899970/72/73/75-862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2,900,000.00</w:t>
      </w:r>
    </w:p>
    <w:p>
      <w:pPr>
        <w:pStyle w:val="null3"/>
      </w:pPr>
      <w:r>
        <w:rPr>
          <w:rFonts w:ascii="仿宋_GB2312" w:hAnsi="仿宋_GB2312" w:cs="仿宋_GB2312" w:eastAsia="仿宋_GB2312"/>
        </w:rPr>
        <w:t>采购包最高限价（元）: 2,899,680.51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院容院貌整体提升项目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标的名称：院容院貌整体提升项目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一、本项目指导性文件和技术标准</w:t>
            </w:r>
          </w:p>
          <w:p>
            <w:pPr>
              <w:pStyle w:val="null3"/>
            </w:pPr>
            <w:r>
              <w:rPr>
                <w:rFonts w:ascii="仿宋_GB2312" w:hAnsi="仿宋_GB2312" w:cs="仿宋_GB2312" w:eastAsia="仿宋_GB2312"/>
                <w:sz w:val="21"/>
                <w:color w:val="000000"/>
              </w:rPr>
              <w:t>1.包括但不限于现行相关指导性文件应包括:</w:t>
            </w:r>
          </w:p>
          <w:p>
            <w:pPr>
              <w:pStyle w:val="null3"/>
            </w:pPr>
            <w:r>
              <w:rPr>
                <w:rFonts w:ascii="仿宋_GB2312" w:hAnsi="仿宋_GB2312" w:cs="仿宋_GB2312" w:eastAsia="仿宋_GB2312"/>
                <w:sz w:val="21"/>
                <w:color w:val="000000"/>
              </w:rPr>
              <w:t>《建设工程质量管理条例》</w:t>
            </w:r>
          </w:p>
          <w:p>
            <w:pPr>
              <w:pStyle w:val="null3"/>
            </w:pPr>
            <w:r>
              <w:rPr>
                <w:rFonts w:ascii="仿宋_GB2312" w:hAnsi="仿宋_GB2312" w:cs="仿宋_GB2312" w:eastAsia="仿宋_GB2312"/>
                <w:sz w:val="21"/>
                <w:color w:val="000000"/>
              </w:rPr>
              <w:t>《建设工程施工合同》等。</w:t>
            </w:r>
          </w:p>
          <w:p>
            <w:pPr>
              <w:pStyle w:val="null3"/>
            </w:pPr>
            <w:r>
              <w:rPr>
                <w:rFonts w:ascii="仿宋_GB2312" w:hAnsi="仿宋_GB2312" w:cs="仿宋_GB2312" w:eastAsia="仿宋_GB2312"/>
                <w:sz w:val="21"/>
                <w:color w:val="000000"/>
              </w:rPr>
              <w:t>2.需执行的国家相关标准、行业标准、地方标准或者其他标准、规范包括但不限于以下内容:</w:t>
            </w:r>
          </w:p>
          <w:p>
            <w:pPr>
              <w:pStyle w:val="null3"/>
            </w:pPr>
            <w:r>
              <w:rPr>
                <w:rFonts w:ascii="仿宋_GB2312" w:hAnsi="仿宋_GB2312" w:cs="仿宋_GB2312" w:eastAsia="仿宋_GB2312"/>
                <w:sz w:val="21"/>
                <w:color w:val="000000"/>
              </w:rPr>
              <w:t>《中华人民共和国建筑法》</w:t>
            </w:r>
          </w:p>
          <w:p>
            <w:pPr>
              <w:pStyle w:val="null3"/>
            </w:pPr>
            <w:r>
              <w:rPr>
                <w:rFonts w:ascii="仿宋_GB2312" w:hAnsi="仿宋_GB2312" w:cs="仿宋_GB2312" w:eastAsia="仿宋_GB2312"/>
                <w:sz w:val="21"/>
                <w:color w:val="000000"/>
              </w:rPr>
              <w:t>《中华人民共和国安全生产法》</w:t>
            </w:r>
          </w:p>
          <w:p>
            <w:pPr>
              <w:pStyle w:val="null3"/>
            </w:pPr>
            <w:r>
              <w:rPr>
                <w:rFonts w:ascii="仿宋_GB2312" w:hAnsi="仿宋_GB2312" w:cs="仿宋_GB2312" w:eastAsia="仿宋_GB2312"/>
                <w:sz w:val="21"/>
                <w:color w:val="000000"/>
              </w:rPr>
              <w:t>《中华人民共和国环境保护法》</w:t>
            </w:r>
          </w:p>
          <w:p>
            <w:pPr>
              <w:pStyle w:val="null3"/>
            </w:pPr>
            <w:r>
              <w:rPr>
                <w:rFonts w:ascii="仿宋_GB2312" w:hAnsi="仿宋_GB2312" w:cs="仿宋_GB2312" w:eastAsia="仿宋_GB2312"/>
                <w:sz w:val="21"/>
                <w:color w:val="000000"/>
              </w:rPr>
              <w:t>《建筑安全生产监督管理规定》</w:t>
            </w:r>
          </w:p>
          <w:p>
            <w:pPr>
              <w:pStyle w:val="null3"/>
            </w:pPr>
            <w:r>
              <w:rPr>
                <w:rFonts w:ascii="仿宋_GB2312" w:hAnsi="仿宋_GB2312" w:cs="仿宋_GB2312" w:eastAsia="仿宋_GB2312"/>
                <w:sz w:val="21"/>
                <w:color w:val="000000"/>
              </w:rPr>
              <w:t>《建设工程施工现场管理规定》</w:t>
            </w:r>
          </w:p>
          <w:p>
            <w:pPr>
              <w:pStyle w:val="null3"/>
            </w:pPr>
            <w:r>
              <w:rPr>
                <w:rFonts w:ascii="仿宋_GB2312" w:hAnsi="仿宋_GB2312" w:cs="仿宋_GB2312" w:eastAsia="仿宋_GB2312"/>
                <w:sz w:val="21"/>
                <w:color w:val="000000"/>
              </w:rPr>
              <w:t>《建设工程安全生产管理条例》</w:t>
            </w:r>
          </w:p>
          <w:p>
            <w:pPr>
              <w:pStyle w:val="null3"/>
            </w:pPr>
            <w:r>
              <w:rPr>
                <w:rFonts w:ascii="仿宋_GB2312" w:hAnsi="仿宋_GB2312" w:cs="仿宋_GB2312" w:eastAsia="仿宋_GB2312"/>
                <w:sz w:val="21"/>
                <w:color w:val="000000"/>
              </w:rPr>
              <w:t>《建设工程质量管理条例》</w:t>
            </w:r>
          </w:p>
          <w:p>
            <w:pPr>
              <w:pStyle w:val="null3"/>
            </w:pPr>
            <w:r>
              <w:rPr>
                <w:rFonts w:ascii="仿宋_GB2312" w:hAnsi="仿宋_GB2312" w:cs="仿宋_GB2312" w:eastAsia="仿宋_GB2312"/>
                <w:sz w:val="21"/>
                <w:color w:val="000000"/>
              </w:rPr>
              <w:t>《城市建筑垃圾管理条例》</w:t>
            </w:r>
          </w:p>
          <w:p>
            <w:pPr>
              <w:pStyle w:val="null3"/>
            </w:pPr>
            <w:r>
              <w:rPr>
                <w:rFonts w:ascii="仿宋_GB2312" w:hAnsi="仿宋_GB2312" w:cs="仿宋_GB2312" w:eastAsia="仿宋_GB2312"/>
                <w:sz w:val="21"/>
                <w:color w:val="000000"/>
              </w:rPr>
              <w:t>《综合医院建筑设计规范》</w:t>
            </w:r>
          </w:p>
          <w:p>
            <w:pPr>
              <w:pStyle w:val="null3"/>
            </w:pPr>
            <w:r>
              <w:rPr>
                <w:rFonts w:ascii="仿宋_GB2312" w:hAnsi="仿宋_GB2312" w:cs="仿宋_GB2312" w:eastAsia="仿宋_GB2312"/>
                <w:sz w:val="21"/>
                <w:color w:val="000000"/>
              </w:rPr>
              <w:t>《建设项目工程总承包管理规范》GB/T50358</w:t>
            </w:r>
          </w:p>
          <w:p>
            <w:pPr>
              <w:pStyle w:val="null3"/>
            </w:pPr>
            <w:r>
              <w:rPr>
                <w:rFonts w:ascii="仿宋_GB2312" w:hAnsi="仿宋_GB2312" w:cs="仿宋_GB2312" w:eastAsia="仿宋_GB2312"/>
                <w:sz w:val="21"/>
                <w:color w:val="000000"/>
              </w:rPr>
              <w:t>《建筑装饰装修工程质量验收标准》</w:t>
            </w:r>
          </w:p>
          <w:p>
            <w:pPr>
              <w:pStyle w:val="null3"/>
            </w:pPr>
            <w:r>
              <w:rPr>
                <w:rFonts w:ascii="仿宋_GB2312" w:hAnsi="仿宋_GB2312" w:cs="仿宋_GB2312" w:eastAsia="仿宋_GB2312"/>
                <w:sz w:val="21"/>
                <w:color w:val="000000"/>
              </w:rPr>
              <w:t>《建筑工程施工质量验收统一标准》GB50300</w:t>
            </w:r>
          </w:p>
          <w:p>
            <w:pPr>
              <w:pStyle w:val="null3"/>
            </w:pPr>
            <w:r>
              <w:rPr>
                <w:rFonts w:ascii="仿宋_GB2312" w:hAnsi="仿宋_GB2312" w:cs="仿宋_GB2312" w:eastAsia="仿宋_GB2312"/>
                <w:sz w:val="21"/>
                <w:color w:val="000000"/>
              </w:rPr>
              <w:t>《建筑设计防火规范》</w:t>
            </w:r>
          </w:p>
          <w:p>
            <w:pPr>
              <w:pStyle w:val="null3"/>
            </w:pPr>
            <w:r>
              <w:rPr>
                <w:rFonts w:ascii="仿宋_GB2312" w:hAnsi="仿宋_GB2312" w:cs="仿宋_GB2312" w:eastAsia="仿宋_GB2312"/>
                <w:sz w:val="21"/>
                <w:color w:val="000000"/>
              </w:rPr>
              <w:t>《建设工程文件归档规范》GB/T50328</w:t>
            </w:r>
          </w:p>
          <w:p>
            <w:pPr>
              <w:pStyle w:val="null3"/>
            </w:pPr>
            <w:r>
              <w:rPr>
                <w:rFonts w:ascii="仿宋_GB2312" w:hAnsi="仿宋_GB2312" w:cs="仿宋_GB2312" w:eastAsia="仿宋_GB2312"/>
                <w:sz w:val="21"/>
                <w:color w:val="000000"/>
              </w:rPr>
              <w:t>《施工现场管理规定》</w:t>
            </w:r>
          </w:p>
          <w:p>
            <w:pPr>
              <w:pStyle w:val="null3"/>
            </w:pPr>
            <w:r>
              <w:rPr>
                <w:rFonts w:ascii="仿宋_GB2312" w:hAnsi="仿宋_GB2312" w:cs="仿宋_GB2312" w:eastAsia="仿宋_GB2312"/>
                <w:sz w:val="21"/>
                <w:color w:val="000000"/>
              </w:rPr>
              <w:t>《危险性较大的分部分项工程安全管理规定》(住建部令第37号)</w:t>
            </w:r>
          </w:p>
          <w:p>
            <w:pPr>
              <w:pStyle w:val="null3"/>
            </w:pPr>
            <w:r>
              <w:rPr>
                <w:rFonts w:ascii="仿宋_GB2312" w:hAnsi="仿宋_GB2312" w:cs="仿宋_GB2312" w:eastAsia="仿宋_GB2312"/>
                <w:sz w:val="21"/>
                <w:color w:val="000000"/>
              </w:rPr>
              <w:t>《建设工程监理规范》GB50319-2013</w:t>
            </w:r>
          </w:p>
          <w:p>
            <w:pPr>
              <w:pStyle w:val="null3"/>
            </w:pPr>
            <w:r>
              <w:rPr>
                <w:rFonts w:ascii="仿宋_GB2312" w:hAnsi="仿宋_GB2312" w:cs="仿宋_GB2312" w:eastAsia="仿宋_GB2312"/>
                <w:sz w:val="21"/>
                <w:color w:val="000000"/>
              </w:rPr>
              <w:t>除合同另有约定外，本工程适用现行国家、省、市、行业和地方规范、标准和规程如发生不一致时，则以要求最为严格的规范、规程或标准作为工作依据。</w:t>
            </w:r>
          </w:p>
          <w:p>
            <w:pPr>
              <w:pStyle w:val="null3"/>
            </w:pPr>
            <w:r>
              <w:rPr>
                <w:rFonts w:ascii="仿宋_GB2312" w:hAnsi="仿宋_GB2312" w:cs="仿宋_GB2312" w:eastAsia="仿宋_GB2312"/>
                <w:sz w:val="21"/>
                <w:color w:val="000000"/>
              </w:rPr>
              <w:t>在合同履行期间，咨询人应满足委托人的特定技术要求，满足设计要求，满足陕西省及西安市的有关强制性规定;咨询人应严格执行中华人民共和国强制性标准，执行现行的或即将颁布的行业标准、规范;如有新颁国家标准及行业标准、规范，委托人指令执行时，咨询人应当执行。</w:t>
            </w:r>
          </w:p>
          <w:p>
            <w:pPr>
              <w:pStyle w:val="null3"/>
            </w:pPr>
            <w:r>
              <w:rPr>
                <w:rFonts w:ascii="仿宋_GB2312" w:hAnsi="仿宋_GB2312" w:cs="仿宋_GB2312" w:eastAsia="仿宋_GB2312"/>
                <w:sz w:val="21"/>
                <w:color w:val="000000"/>
              </w:rPr>
              <w:t>二、工程内容及规模：</w:t>
            </w:r>
          </w:p>
          <w:p>
            <w:pPr>
              <w:pStyle w:val="null3"/>
            </w:pPr>
            <w:r>
              <w:rPr>
                <w:rFonts w:ascii="仿宋_GB2312" w:hAnsi="仿宋_GB2312" w:cs="仿宋_GB2312" w:eastAsia="仿宋_GB2312"/>
                <w:sz w:val="21"/>
                <w:color w:val="000000"/>
              </w:rPr>
              <w:t>本项目改造面积约为7500㎡，项目核心内容为对院内楼体外立面进行修缮施工，具体工程内容包含：单独</w:t>
            </w:r>
            <w:r>
              <w:rPr>
                <w:rFonts w:ascii="仿宋_GB2312" w:hAnsi="仿宋_GB2312" w:cs="仿宋_GB2312" w:eastAsia="仿宋_GB2312"/>
                <w:sz w:val="21"/>
                <w:color w:val="000000"/>
              </w:rPr>
              <w:t>装饰工程、通用安装工程等相关专业，以本项目竞争性磋商文件、工程量清单、</w:t>
            </w:r>
            <w:r>
              <w:rPr>
                <w:rFonts w:ascii="仿宋_GB2312" w:hAnsi="仿宋_GB2312" w:cs="仿宋_GB2312" w:eastAsia="仿宋_GB2312"/>
                <w:sz w:val="21"/>
                <w:color w:val="000000"/>
              </w:rPr>
              <w:t>图纸、设计文件、答疑文件等文件为准。</w:t>
            </w:r>
          </w:p>
          <w:p>
            <w:pPr>
              <w:pStyle w:val="null3"/>
            </w:pPr>
            <w:r>
              <w:rPr>
                <w:rFonts w:ascii="仿宋_GB2312" w:hAnsi="仿宋_GB2312" w:cs="仿宋_GB2312" w:eastAsia="仿宋_GB2312"/>
                <w:sz w:val="21"/>
                <w:color w:val="000000"/>
              </w:rPr>
              <w:t>三、工程承包范围：</w:t>
            </w:r>
          </w:p>
          <w:p>
            <w:pPr>
              <w:pStyle w:val="null3"/>
            </w:pPr>
            <w:r>
              <w:rPr>
                <w:rFonts w:ascii="仿宋_GB2312" w:hAnsi="仿宋_GB2312" w:cs="仿宋_GB2312" w:eastAsia="仿宋_GB2312"/>
                <w:sz w:val="21"/>
                <w:color w:val="000000"/>
              </w:rPr>
              <w:t>包含项目材料采购、建安工程施工至竣工验收合格及整体移交，工程保修期内缺陷修复和保修工作，其他内容包含但不限于图纸优化设计、施工图纸审查、拆除及垃圾清运、配套工程接口、试运行、验收等内容，施工以及相关政府职能部门手续办理工作等相关内容。</w:t>
            </w:r>
          </w:p>
          <w:p>
            <w:pPr>
              <w:pStyle w:val="null3"/>
            </w:pPr>
            <w:r>
              <w:rPr>
                <w:rFonts w:ascii="仿宋_GB2312" w:hAnsi="仿宋_GB2312" w:cs="仿宋_GB2312" w:eastAsia="仿宋_GB2312"/>
                <w:sz w:val="21"/>
                <w:color w:val="000000"/>
              </w:rPr>
              <w:t>四、本项目实施内容</w:t>
            </w:r>
          </w:p>
          <w:p>
            <w:pPr>
              <w:pStyle w:val="null3"/>
            </w:pPr>
            <w:r>
              <w:rPr>
                <w:rFonts w:ascii="仿宋_GB2312" w:hAnsi="仿宋_GB2312" w:cs="仿宋_GB2312" w:eastAsia="仿宋_GB2312"/>
                <w:sz w:val="21"/>
                <w:color w:val="000000"/>
              </w:rPr>
              <w:t>项目位于西安市雁塔区电子二路52号陕西省康复医院院内，核心任务是对院内楼体外立面实施改造施工。本次计划采用喷刷真石漆等工艺对建筑外立面进行改造，改造面积约 7500 平方米。工程内容涵盖单独装饰工程、通用安装工程等多个施工环节。具体工作内容详见施工图纸、招标文件及工程量清单所包含全部内容。经施工后达到国家现行设计标准、施工验收规范及强制性条款要求。具体内容为:</w:t>
            </w:r>
          </w:p>
          <w:p>
            <w:pPr>
              <w:pStyle w:val="null3"/>
            </w:pPr>
            <w:r>
              <w:rPr>
                <w:rFonts w:ascii="仿宋_GB2312" w:hAnsi="仿宋_GB2312" w:cs="仿宋_GB2312" w:eastAsia="仿宋_GB2312"/>
                <w:sz w:val="21"/>
                <w:color w:val="000000"/>
              </w:rPr>
              <w:t>1.基层勘察阶段：对施工现场基础面开展勘察工作，并结合实际情况对施工方案进行细化完善。</w:t>
            </w:r>
          </w:p>
          <w:p>
            <w:pPr>
              <w:pStyle w:val="null3"/>
            </w:pPr>
            <w:r>
              <w:rPr>
                <w:rFonts w:ascii="仿宋_GB2312" w:hAnsi="仿宋_GB2312" w:cs="仿宋_GB2312" w:eastAsia="仿宋_GB2312"/>
                <w:sz w:val="21"/>
                <w:color w:val="000000"/>
              </w:rPr>
              <w:t>2.基层处理阶段：对施工基层检查，铲除装饰面层空鼓瓷砖，修补破损基础面；检查并调整基层的平整度和垂直度，玻璃幕墙检查清洗修并补破损幕墙，确保符合质量验收标准后完成验收。</w:t>
            </w:r>
          </w:p>
          <w:p>
            <w:pPr>
              <w:pStyle w:val="null3"/>
            </w:pPr>
            <w:r>
              <w:rPr>
                <w:rFonts w:ascii="仿宋_GB2312" w:hAnsi="仿宋_GB2312" w:cs="仿宋_GB2312" w:eastAsia="仿宋_GB2312"/>
                <w:sz w:val="21"/>
                <w:color w:val="000000"/>
              </w:rPr>
              <w:t>3.装饰与功能层施工阶段：依次完成界面剂涂刷、挂网、批刮腻子、涂刷底漆、喷刷真石漆、涂刷罩面漆等施工内容，确保符合质量验收标准后完成验收。</w:t>
            </w:r>
          </w:p>
          <w:p>
            <w:pPr>
              <w:pStyle w:val="null3"/>
            </w:pPr>
            <w:r>
              <w:rPr>
                <w:rFonts w:ascii="仿宋_GB2312" w:hAnsi="仿宋_GB2312" w:cs="仿宋_GB2312" w:eastAsia="仿宋_GB2312"/>
                <w:sz w:val="21"/>
                <w:color w:val="000000"/>
              </w:rPr>
              <w:t>4.安装阶段施工：包含照明系统的灯具及线路改造，以及消 防 监 控  系  统的检查与恢复工作。</w:t>
            </w:r>
          </w:p>
          <w:p>
            <w:pPr>
              <w:pStyle w:val="null3"/>
            </w:pPr>
            <w:r>
              <w:rPr>
                <w:rFonts w:ascii="仿宋_GB2312" w:hAnsi="仿宋_GB2312" w:cs="仿宋_GB2312" w:eastAsia="仿宋_GB2312"/>
                <w:sz w:val="21"/>
                <w:color w:val="000000"/>
              </w:rPr>
              <w:t>5.收尾工作：施工完成后对场地进行清理、项目完成验收，并移交相关资料。</w:t>
            </w:r>
          </w:p>
          <w:p>
            <w:pPr>
              <w:pStyle w:val="null3"/>
            </w:pPr>
            <w:r>
              <w:rPr>
                <w:rFonts w:ascii="仿宋_GB2312" w:hAnsi="仿宋_GB2312" w:cs="仿宋_GB2312" w:eastAsia="仿宋_GB2312"/>
                <w:sz w:val="21"/>
                <w:color w:val="000000"/>
              </w:rPr>
              <w:t>五、工程质量标准及安全文明施工要求</w:t>
            </w:r>
          </w:p>
          <w:p>
            <w:pPr>
              <w:pStyle w:val="null3"/>
            </w:pPr>
            <w:r>
              <w:rPr>
                <w:rFonts w:ascii="仿宋_GB2312" w:hAnsi="仿宋_GB2312" w:cs="仿宋_GB2312" w:eastAsia="仿宋_GB2312"/>
                <w:sz w:val="21"/>
                <w:color w:val="000000"/>
              </w:rPr>
              <w:t>1.工程质量标准：“合格”达到国家现行设计、施工验收规范及强制性条款要求；</w:t>
            </w:r>
          </w:p>
          <w:p>
            <w:pPr>
              <w:pStyle w:val="null3"/>
            </w:pPr>
            <w:r>
              <w:rPr>
                <w:rFonts w:ascii="仿宋_GB2312" w:hAnsi="仿宋_GB2312" w:cs="仿宋_GB2312" w:eastAsia="仿宋_GB2312"/>
                <w:sz w:val="21"/>
                <w:color w:val="000000"/>
              </w:rPr>
              <w:t>2.安全、文明施工：承包人应按照现行国家、省、西安市相关规定要求做好安全文明施工、环境保护、治污减霾等工作，积极做好施工现场管理，维护现场整洁，道路畅通，符合文明施工的标准；临时污水排放、垃圾清运，及时向有关部门办理审批手续，经批准后方可排放、清运，费用由承包人承担。施工过程中严格按照政府相关部门的要求，做好扬尘及噪声控制，运输车辆的遮盖、清洗和市政道路的清洁，负责与市容、环卫、城管等政府相关部门的及时协商并承担因承包人、分包人原因造成的罚款费用。</w:t>
            </w:r>
          </w:p>
          <w:p>
            <w:pPr>
              <w:pStyle w:val="null3"/>
            </w:pPr>
            <w:r>
              <w:rPr>
                <w:rFonts w:ascii="仿宋_GB2312" w:hAnsi="仿宋_GB2312" w:cs="仿宋_GB2312" w:eastAsia="仿宋_GB2312"/>
                <w:sz w:val="21"/>
                <w:color w:val="000000"/>
              </w:rPr>
              <w:t>3.关于集中踏勘要求：</w:t>
            </w:r>
          </w:p>
          <w:p>
            <w:pPr>
              <w:pStyle w:val="null3"/>
            </w:pPr>
            <w:r>
              <w:rPr>
                <w:rFonts w:ascii="仿宋_GB2312" w:hAnsi="仿宋_GB2312" w:cs="仿宋_GB2312" w:eastAsia="仿宋_GB2312"/>
                <w:sz w:val="21"/>
                <w:color w:val="000000"/>
              </w:rPr>
              <w:t>采购人不集中组织供应商到现场踏勘，供应商需要理解工程现场状况的，可根据踏勘目的地自行进入采购人的项目现场：</w:t>
            </w:r>
          </w:p>
          <w:p>
            <w:pPr>
              <w:pStyle w:val="null3"/>
            </w:pPr>
            <w:r>
              <w:rPr>
                <w:rFonts w:ascii="仿宋_GB2312" w:hAnsi="仿宋_GB2312" w:cs="仿宋_GB2312" w:eastAsia="仿宋_GB2312"/>
                <w:sz w:val="21"/>
                <w:color w:val="000000"/>
              </w:rPr>
              <w:t xml:space="preserve">踏勘联系人：李育  孙蕊  </w:t>
            </w:r>
          </w:p>
          <w:p>
            <w:pPr>
              <w:pStyle w:val="null3"/>
            </w:pPr>
            <w:r>
              <w:rPr>
                <w:rFonts w:ascii="仿宋_GB2312" w:hAnsi="仿宋_GB2312" w:cs="仿宋_GB2312" w:eastAsia="仿宋_GB2312"/>
                <w:sz w:val="21"/>
                <w:color w:val="000000"/>
              </w:rPr>
              <w:t xml:space="preserve">联系电话：  13772485699  13022975182                              </w:t>
            </w:r>
          </w:p>
          <w:p>
            <w:pPr>
              <w:pStyle w:val="null3"/>
            </w:pPr>
            <w:r>
              <w:rPr>
                <w:rFonts w:ascii="仿宋_GB2312" w:hAnsi="仿宋_GB2312" w:cs="仿宋_GB2312" w:eastAsia="仿宋_GB2312"/>
                <w:sz w:val="21"/>
                <w:color w:val="000000"/>
              </w:rPr>
              <w:t>注：供应商可自行前往项目实际地点踏勘。由于供应商自身原因而未去踏勘现场的，由供应商自行承担相关不利风险和责任，且在踏勘过程中所产生的任何费用及安全问题由供应商自行全部承担。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3.1施工工期 采购包1：90日历天。 3.2建设地点 采购包1：陕西省康复医院。 3.3支付方式 采购包1： 分期付款 3.4支付约定 采购包1： 付款条件说明：正式合同签订后15日支付中标价中建筑安装工程费的40%作为预付款（不包含安全文明施工费、暂列金），合同签订后15日内一次性支付安全文明施工费，工程费用按照月进度支付，月进度付款按照发包人确定的图纸，依据以下办法进行核算。每月支付审定金额的80%。工程费用累计支付至中标金额工程费用的80%时停止支付。在工程结算完成后付至结算价格的97%，剩余3%质量保证金待工程款待缺陷责任期满后一次性支付。3.5验收标准和方法 采购包1：依据现行的国家标准或国家行政部门颁布的法律法规、规章制度作为项目验收的重要依据。没有国家标准的，可以参考行业标准。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（一）计划工期： 90日历天。 （二）缺陷责任期： 自竣工验收合格之日起满两年。 （三）质量保修期： 自竣工验收合格之日起满三年。 （四）计价依据1、依据《关于印发2025 陕西省建设工程费用规则等计价依据的通知》(陕建管发(2025)10号);2、依据陕西省工程建设标准《建设工程工程量清单计价标准》《建筑与装饰工程工程量计算标准》、《通用安装工程工程量计算标准》、《陕西省建设工程费用规则》(2025)等;3、陕西省住房城乡建设主管部门颁发的工程计价文件、建设工程费用规则；4、图纸依据:4.1陕西省康复医院临床楼外立面改造施工图;4.2其他根据现场实际情况整理资料:5、主要材料价格参考陕西省工程造价管理机构发布的工程造价信息，工程造价信息没有的参照市场价；6、广联达版本:7.5000.23.1。 （五）施工要求： （1）遵守国家相关法律、法规，遵守国家相关技术规范。 （2）所选材料必须保证质量可靠、进货渠道正常，符合国家环保等相关标准，满足施工要求。 （3）工程质量符合国家有关规范，确保达到合格。 （4）该工程项目质量保修期按有关文件规定执行。 （5）遵守有关施工规范和安全操作规程，采取有效的安全保障措施，确保施工安全，包括悬挂警示标牌、装设围栏、配备安全人员等，并承担事故的全部费用和责任。 （6）施工单位必须服从当地对治安、卫生、环保、社会保险等工程建设的统一管理，并按有关规定交纳费用以及因违反相关规定而造成的罚款。 （7）本工程不允许转包。 （8）爱护采购方设施设备，不能为施工方便未经甲方书面同意损坏采购方设施设备。 （9）供应商自行办理垃圾清理手续，遵守当地政府垃圾分类处理有关规定，承担自行处置不当导致的全部费用和责任。 （六）商务要求 （1）合同价款：据实结算，单价按合同规定的固定单价。 （2）结算方式：正式合同签订后15日支付中标价中建筑安装工程费的40%作为预付款（不包含安全文明施工费、暂列金），合同签订后15日内一次性支付安全文明施工费，工程费用按照月进度支付，月进度付款按照发包人确定的图纸，依据以下办法进行核算。每月支付审定金额的80%。工程费用累计支付至中标金额工程费用的80%时停止支付。在工程结算完成后付至结算价格的97%，剩余3%质量保证金待工程款待缺陷责任期满后一次性支付。 （3）漏项处理：施工过程中发现工程量清单中存在漏项工程的，该漏项工程作为本项目采购的组成部分，采购人和供应商可以按照《中华人民共和国政府采购法》的规定协商解决。 （七）其他 （1）质量验收标准或规范 1.1.国家现行有关法律、法规、环保和技术指标； 1.2.本项目施工合同； 1.3.经批准的设计文件及工程变更文件； 1.4.有关部政府部门的规定。 （2）违约责任 2.1.按《政府采购法》、《民法典》中的相关条款执行。 2.2.未按要求提供货物、质量、环保标准不能满足技术要求的，施工方必须无条件更换，否则，采购单位有权终止合同，并对施工方的违约行为报监管机构进行相应的处罚。 2.3.施工方不能按期交工的，每逾期一日应向项目单位支付合同总价款千分之二的违约金，给采购单位造成损失的，应予以赔偿。 （3）与本工程相关的特别说明 本项目包工、包料、包工期、包质量、包安全、包调试、包垃圾外运、包文明施工，成交供应商要结合工程情况合理报价，按照采购方要求施工。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已赋码且完整的财务报告；（成立时间至递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法定代表人授权书（附法定代表人、被授权人身份证复印件，被授权人提供投标截止日前一年内已缴存的至少一个月的社会保险参保缴费证明）（法定代表人直接参加磋商，须提供法定代表人身份证明）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供应商应具备建设行政主管部门核发的房屋建筑工程施工总承包三级及以上资质，具有有效的安全生产许可证；</w:t>
            </w:r>
          </w:p>
        </w:tc>
        <w:tc>
          <w:tcPr>
            <w:tcW w:type="dxa" w:w="1661"/>
          </w:tcPr>
          <w:p>
            <w:pPr>
              <w:pStyle w:val="null3"/>
            </w:pPr>
            <w:r>
              <w:rPr>
                <w:rFonts w:ascii="仿宋_GB2312" w:hAnsi="仿宋_GB2312" w:cs="仿宋_GB2312" w:eastAsia="仿宋_GB2312"/>
              </w:rPr>
              <w:t>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项目负责人需具备建筑工程专业二级及以上注册建造师执业资格和有效的安全生产考核证书（B证）在本单位注册，且无在建工程、无不良记录（提供无在建工程、无不良记录承诺书）；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采购代理机构于本项目磋商公告发布后至磋商响应文件递交截止日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报价一览表.docx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不存在法律、法规和磋商文件规定的其他无效磋商情形。</w:t>
            </w:r>
          </w:p>
        </w:tc>
        <w:tc>
          <w:tcPr>
            <w:tcW w:type="dxa" w:w="1661"/>
          </w:tcPr>
          <w:p>
            <w:pPr>
              <w:pStyle w:val="null3"/>
            </w:pPr>
            <w:r>
              <w:rPr>
                <w:rFonts w:ascii="仿宋_GB2312" w:hAnsi="仿宋_GB2312" w:cs="仿宋_GB2312" w:eastAsia="仿宋_GB2312"/>
              </w:rPr>
              <w:t>报价一览表.docx 已标价工程量清单 中小企业声明函 承诺书.docx 其它资料.docx 资格证明文件.docx 响应文件封面 磋商方案说明.docx 项目管理机构组成表 残疾人福利性单位声明函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1、实施方案非常详细并且完整可行、有针对性，完全满足项目实施的得10分； 2、实施方案详细、完整，可行、有针对性，满足项目实施的得6分； 3、实施方案比较详细完整、可行，较利于项目实施的得4分； 4、实施方案无可行性，无法满足项目实施需要的得2分;5、未提供得0分。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针对本项目提供的安全作业方案及安全配套措施进行综合评审。 1、提供的安全作业方案及安全配套措施具体、详细，完全符合并优于采购人安全作业的要求，得8分； 2、提供安全作业方案及安全配套措施较详细、较完整，符合采购人安全作业的要求，得6分； 3、提供安全作业方案及安全配套措施基本合理可行，符合采购人安全作业的要求，得4分； 4、提供的安全作业方案及安全配套措施简单，基本符合采购人安全作业的要求，得2分。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1、措施计划齐全、合理且切实可行，完全满足采购人需求得5分； 2、措施计划较齐全、合理、切实可行，满足采购人需求得3分； 3、措施计划基本完备齐全、合理性、可行性较差，得1分；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工作流程；②工程质量保障方案;③工程质量控制体系:④材料和构配件的质量控制等;⑤施工检测及工序交验方案等。以上内容专门针对本项目且符合本项目实际需求的得 10分，每缺一项内容扣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专业技术能力及岗位职责</w:t>
            </w:r>
          </w:p>
        </w:tc>
        <w:tc>
          <w:tcPr>
            <w:tcW w:type="dxa" w:w="2492"/>
          </w:tcPr>
          <w:p>
            <w:pPr>
              <w:pStyle w:val="null3"/>
            </w:pPr>
            <w:r>
              <w:rPr>
                <w:rFonts w:ascii="仿宋_GB2312" w:hAnsi="仿宋_GB2312" w:cs="仿宋_GB2312" w:eastAsia="仿宋_GB2312"/>
              </w:rPr>
              <w:t>1.项目部人员配备（不包含项目经理）：技术负责人、施工员、安全员、质检员、材料员、造价员、资料员各技术人员配备齐全得4分，技术人员配备不齐全不得分，每增加一个技术人员得1分，满分8分； 评审依据：以供应商加盖公章的资格证书或职称（或相关证书）复印件为准。 2.技术负责人具有中级及以上职称证书的得2分，其他情况不得分。 评审依据：以供应商加盖公章的职称证书复印件为准。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重点难点分析 （本工程在12层顶（42.4米）处有挑出。北侧2米、东南侧均为2.4米，西侧无挑出，针对本本项内容，提供解决方案）</w:t>
            </w:r>
          </w:p>
        </w:tc>
        <w:tc>
          <w:tcPr>
            <w:tcW w:type="dxa" w:w="2492"/>
          </w:tcPr>
          <w:p>
            <w:pPr>
              <w:pStyle w:val="null3"/>
            </w:pPr>
            <w:r>
              <w:rPr>
                <w:rFonts w:ascii="仿宋_GB2312" w:hAnsi="仿宋_GB2312" w:cs="仿宋_GB2312" w:eastAsia="仿宋_GB2312"/>
              </w:rPr>
              <w:t>针对本项目提供的难点解决方案进行综合评审。 1、方案计划齐全、合理且切实可行，完全满足项目实际需求得5分； 2、方案计划较齐全、合理、切实可行，满足项目实际需求得3分； 3、方案计划基本完备齐全、合理性、可行性较差，得1分；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机械设备和劳动力配置情况</w:t>
            </w:r>
          </w:p>
        </w:tc>
        <w:tc>
          <w:tcPr>
            <w:tcW w:type="dxa" w:w="2492"/>
          </w:tcPr>
          <w:p>
            <w:pPr>
              <w:pStyle w:val="null3"/>
            </w:pPr>
            <w:r>
              <w:rPr>
                <w:rFonts w:ascii="仿宋_GB2312" w:hAnsi="仿宋_GB2312" w:cs="仿宋_GB2312" w:eastAsia="仿宋_GB2312"/>
              </w:rPr>
              <w:t>针对本项目提供拟投入本项目主要机械、设备和劳动力配置情况。 1、拟投入的机械设备数量充足，与项目匹配度高，劳动力配置合理，完全满足项目需要，得5分； 2、拟投入的机械设备数量、与项目基本匹配，劳动力配置较合理，基本满足项目需要，得3分； 3、拟投入的机械设备和劳动力配置简单，无针对性，得1分。未提供不得分。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其它资料.docx</w:t>
            </w:r>
          </w:p>
        </w:tc>
      </w:tr>
      <w:tr>
        <w:tc>
          <w:tcPr>
            <w:tcW w:type="dxa" w:w="831"/>
            <w:vMerge/>
          </w:tcPr>
          <w:p/>
        </w:tc>
        <w:tc>
          <w:tcPr>
            <w:tcW w:type="dxa" w:w="1661"/>
          </w:tcPr>
          <w:p>
            <w:pPr>
              <w:pStyle w:val="null3"/>
            </w:pPr>
            <w:r>
              <w:rPr>
                <w:rFonts w:ascii="仿宋_GB2312" w:hAnsi="仿宋_GB2312" w:cs="仿宋_GB2312" w:eastAsia="仿宋_GB2312"/>
              </w:rPr>
              <w:t>风险预防及应急预案</w:t>
            </w:r>
          </w:p>
        </w:tc>
        <w:tc>
          <w:tcPr>
            <w:tcW w:type="dxa" w:w="2492"/>
          </w:tcPr>
          <w:p>
            <w:pPr>
              <w:pStyle w:val="null3"/>
            </w:pPr>
            <w:r>
              <w:rPr>
                <w:rFonts w:ascii="仿宋_GB2312" w:hAnsi="仿宋_GB2312" w:cs="仿宋_GB2312" w:eastAsia="仿宋_GB2312"/>
              </w:rPr>
              <w:t>针对本项目提供项目风险预测与防范，事故应急预案。 1、风险预测与防范内容完善，针对性强，预案及措施科学合理可行性强，得7分； 2、风险预测与防范内容较完善，预案及措施针对性和可行性较强，得5分；3、风险预测与防范内容较完善，预案及措施有一定针对性和可行性强，得3分； 4、风险预测与防范内容、预案及措施内容简单笼统，无针对性，得1分。未提供不得分。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1、进度计划安排合理、措施有效，工期目标明确，满足采购人要求，得5分；2、进度计划安排较合理、措施较有效，工期目标基本清晰，基本满足采购人要求，得3分； 3、进度计划和工期目标内容简单笼统，无针对性，得1分。4、未提供不得分。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1、投标人拟派项目经理具有本科及以上学历的得2分，专科学历的得1分，其他情况不得分。 2、具有中级及以上职称证书的得2分，其他情况不得分。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提供供应商2022年9月1日至今（以合同的签订日期为准）承接过类似项目的合同证明（每提供一个得2分，满分6分）（合同内容须清晰可辨认，无涂改，否则视为无效合同）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2、有效最低报价为磋商基准价。3、磋商报价按（磋商基准价/有效磋商报价）×25的公式计算其得分。4、磋商报价不完整的，不进入磋商基准价的计算，本项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