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bidi w:val="0"/>
        <w:jc w:val="center"/>
        <w:rPr>
          <w:rFonts w:hint="eastAsia"/>
          <w:lang w:val="en-US" w:eastAsia="zh-CN"/>
        </w:rPr>
      </w:pPr>
      <w:r>
        <w:rPr>
          <w:rFonts w:hint="eastAsia"/>
          <w:lang w:val="en-US" w:eastAsia="zh-CN"/>
        </w:rPr>
        <w:t>补充说明</w:t>
      </w:r>
    </w:p>
    <w:tbl>
      <w:tblPr>
        <w:tblStyle w:val="8"/>
        <w:tblW w:w="8906" w:type="dxa"/>
        <w:tblInd w:w="11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0"/>
        <w:gridCol w:w="1907"/>
        <w:gridCol w:w="6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序号</w:t>
            </w:r>
          </w:p>
        </w:tc>
        <w:tc>
          <w:tcPr>
            <w:tcW w:w="1907"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条款名称</w:t>
            </w:r>
          </w:p>
        </w:tc>
        <w:tc>
          <w:tcPr>
            <w:tcW w:w="6109"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lang w:val="en-US" w:eastAsia="zh-CN"/>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i w:val="0"/>
                <w:iCs w:val="0"/>
                <w:color w:val="auto"/>
                <w:sz w:val="24"/>
                <w:szCs w:val="24"/>
                <w:lang w:val="en-US" w:eastAsia="zh-CN"/>
              </w:rPr>
            </w:pPr>
            <w:r>
              <w:rPr>
                <w:rFonts w:hint="eastAsia" w:ascii="仿宋" w:hAnsi="仿宋" w:eastAsia="仿宋" w:cs="仿宋"/>
                <w:color w:val="auto"/>
                <w:sz w:val="24"/>
                <w:szCs w:val="24"/>
                <w:lang w:val="en-US" w:eastAsia="zh-CN"/>
              </w:rPr>
              <w:t>1</w:t>
            </w:r>
          </w:p>
        </w:tc>
        <w:tc>
          <w:tcPr>
            <w:tcW w:w="1907"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i w:val="0"/>
                <w:iCs w:val="0"/>
                <w:color w:val="auto"/>
                <w:kern w:val="2"/>
                <w:sz w:val="24"/>
                <w:szCs w:val="24"/>
                <w:lang w:val="en-US" w:eastAsia="zh-CN" w:bidi="ar-SA"/>
              </w:rPr>
            </w:pP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资格</w:t>
            </w:r>
            <w:r>
              <w:rPr>
                <w:rFonts w:hint="eastAsia" w:ascii="仿宋" w:hAnsi="仿宋" w:eastAsia="仿宋" w:cs="仿宋"/>
                <w:color w:val="auto"/>
                <w:sz w:val="24"/>
                <w:szCs w:val="24"/>
                <w:lang w:val="en-US" w:eastAsia="zh-CN"/>
              </w:rPr>
              <w:t>说明</w:t>
            </w:r>
          </w:p>
        </w:tc>
        <w:tc>
          <w:tcPr>
            <w:tcW w:w="6109" w:type="dxa"/>
            <w:vAlign w:val="center"/>
          </w:tcPr>
          <w:p>
            <w:pPr>
              <w:pStyle w:val="6"/>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00" w:lineRule="exact"/>
              <w:ind w:left="0" w:leftChars="0" w:firstLine="0" w:firstLineChars="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1）供应商发生合并、分立、破产等重大变化的，应及时</w:t>
            </w:r>
            <w:r>
              <w:rPr>
                <w:rFonts w:hint="default" w:ascii="仿宋" w:hAnsi="仿宋" w:eastAsia="仿宋" w:cs="仿宋"/>
                <w:color w:val="auto"/>
                <w:sz w:val="24"/>
                <w:szCs w:val="24"/>
                <w:lang w:val="en-US" w:eastAsia="zh-CN"/>
              </w:rPr>
              <w:t>书面</w:t>
            </w:r>
            <w:r>
              <w:rPr>
                <w:rFonts w:hint="eastAsia" w:ascii="仿宋" w:hAnsi="仿宋" w:eastAsia="仿宋" w:cs="仿宋"/>
                <w:color w:val="auto"/>
                <w:kern w:val="2"/>
                <w:sz w:val="24"/>
                <w:szCs w:val="24"/>
                <w:highlight w:val="none"/>
                <w:lang w:val="en-US" w:eastAsia="zh-CN" w:bidi="ar-SA"/>
              </w:rPr>
              <w:t>告知采购人，否则承担一切不利后果。</w:t>
            </w:r>
          </w:p>
          <w:p>
            <w:pPr>
              <w:pStyle w:val="6"/>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00" w:lineRule="exact"/>
              <w:ind w:left="0" w:leftChars="0" w:firstLine="0" w:firstLineChars="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2）中标人须保证企业的必备资质及相关证书的有效性、连续性。评审结束之日起至履约结束，如期间遇到资质或证书临界到期需更换，</w:t>
            </w:r>
            <w:r>
              <w:rPr>
                <w:rFonts w:hint="default" w:ascii="仿宋" w:hAnsi="仿宋" w:eastAsia="仿宋" w:cs="仿宋"/>
                <w:color w:val="auto"/>
                <w:sz w:val="24"/>
                <w:szCs w:val="24"/>
                <w:lang w:val="en-US" w:eastAsia="zh-CN"/>
              </w:rPr>
              <w:t>中标人</w:t>
            </w:r>
            <w:r>
              <w:rPr>
                <w:rFonts w:hint="eastAsia" w:ascii="仿宋" w:hAnsi="仿宋" w:eastAsia="仿宋" w:cs="仿宋"/>
                <w:color w:val="auto"/>
                <w:kern w:val="2"/>
                <w:sz w:val="24"/>
                <w:szCs w:val="24"/>
                <w:highlight w:val="none"/>
                <w:lang w:val="en-US" w:eastAsia="zh-CN" w:bidi="ar-SA"/>
              </w:rPr>
              <w:t>应提前及时续办，否则采购人有权随时取消其</w:t>
            </w:r>
            <w:r>
              <w:rPr>
                <w:rFonts w:hint="default" w:ascii="仿宋" w:hAnsi="仿宋" w:eastAsia="仿宋" w:cs="仿宋"/>
                <w:color w:val="auto"/>
                <w:sz w:val="24"/>
                <w:szCs w:val="24"/>
                <w:lang w:val="en-US" w:eastAsia="zh-CN"/>
              </w:rPr>
              <w:t>中标</w:t>
            </w:r>
            <w:r>
              <w:rPr>
                <w:rFonts w:hint="eastAsia" w:ascii="仿宋" w:hAnsi="仿宋" w:eastAsia="仿宋" w:cs="仿宋"/>
                <w:color w:val="auto"/>
                <w:kern w:val="2"/>
                <w:sz w:val="24"/>
                <w:szCs w:val="24"/>
                <w:highlight w:val="none"/>
                <w:lang w:val="en-US" w:eastAsia="zh-CN" w:bidi="ar-SA"/>
              </w:rPr>
              <w:t>或履约资格，由此造成的后果由</w:t>
            </w:r>
            <w:r>
              <w:rPr>
                <w:rFonts w:hint="default" w:ascii="仿宋" w:hAnsi="仿宋" w:eastAsia="仿宋" w:cs="仿宋"/>
                <w:color w:val="auto"/>
                <w:sz w:val="24"/>
                <w:szCs w:val="24"/>
                <w:lang w:val="en-US" w:eastAsia="zh-CN"/>
              </w:rPr>
              <w:t>中标人</w:t>
            </w:r>
            <w:r>
              <w:rPr>
                <w:rFonts w:hint="eastAsia" w:ascii="仿宋" w:hAnsi="仿宋" w:eastAsia="仿宋" w:cs="仿宋"/>
                <w:color w:val="auto"/>
                <w:kern w:val="2"/>
                <w:sz w:val="24"/>
                <w:szCs w:val="24"/>
                <w:highlight w:val="none"/>
                <w:lang w:val="en-US" w:eastAsia="zh-CN" w:bidi="ar-SA"/>
              </w:rPr>
              <w:t>自行承担。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2</w:t>
            </w:r>
          </w:p>
        </w:tc>
        <w:tc>
          <w:tcPr>
            <w:tcW w:w="1907" w:type="dxa"/>
            <w:vAlign w:val="center"/>
          </w:tcPr>
          <w:p>
            <w:pPr>
              <w:keepNext w:val="0"/>
              <w:keepLines w:val="0"/>
              <w:pageBreakBefore w:val="0"/>
              <w:kinsoku/>
              <w:wordWrap/>
              <w:overflowPunct/>
              <w:topLinePunct w:val="0"/>
              <w:autoSpaceDE/>
              <w:autoSpaceDN/>
              <w:bidi w:val="0"/>
              <w:adjustRightInd/>
              <w:spacing w:line="500" w:lineRule="exact"/>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现场勘查</w:t>
            </w:r>
            <w:r>
              <w:rPr>
                <w:rFonts w:hint="eastAsia" w:ascii="仿宋" w:hAnsi="仿宋" w:eastAsia="仿宋" w:cs="仿宋"/>
                <w:color w:val="auto"/>
                <w:sz w:val="24"/>
                <w:szCs w:val="24"/>
                <w:highlight w:val="none"/>
                <w:lang w:eastAsia="zh-CN"/>
              </w:rPr>
              <w:t>、</w:t>
            </w:r>
          </w:p>
          <w:p>
            <w:pPr>
              <w:keepNext w:val="0"/>
              <w:keepLines w:val="0"/>
              <w:pageBreakBefore w:val="0"/>
              <w:kinsoku/>
              <w:wordWrap/>
              <w:overflowPunct/>
              <w:topLinePunct w:val="0"/>
              <w:autoSpaceDE/>
              <w:autoSpaceDN/>
              <w:bidi w:val="0"/>
              <w:adjustRightInd/>
              <w:spacing w:line="500" w:lineRule="exact"/>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标前答疑会</w:t>
            </w:r>
          </w:p>
        </w:tc>
        <w:tc>
          <w:tcPr>
            <w:tcW w:w="6109" w:type="dxa"/>
            <w:vAlign w:val="center"/>
          </w:tcPr>
          <w:p>
            <w:pPr>
              <w:pStyle w:val="2"/>
              <w:keepNext w:val="0"/>
              <w:keepLines w:val="0"/>
              <w:pageBreakBefore w:val="0"/>
              <w:kinsoku/>
              <w:wordWrap/>
              <w:overflowPunct/>
              <w:topLinePunct w:val="0"/>
              <w:autoSpaceDE/>
              <w:autoSpaceDN/>
              <w:bidi w:val="0"/>
              <w:adjustRightInd/>
              <w:spacing w:line="500" w:lineRule="exact"/>
              <w:ind w:firstLine="0" w:firstLineChars="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不组织</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不召开</w:t>
            </w:r>
            <w:r>
              <w:rPr>
                <w:rFonts w:hint="eastAsia" w:ascii="仿宋" w:hAnsi="仿宋" w:eastAsia="仿宋" w:cs="仿宋"/>
                <w:color w:val="auto"/>
                <w:sz w:val="24"/>
                <w:szCs w:val="24"/>
                <w:highlight w:val="none"/>
                <w:lang w:eastAsia="zh-CN"/>
              </w:rPr>
              <w:t>。</w:t>
            </w:r>
          </w:p>
          <w:p>
            <w:pPr>
              <w:pStyle w:val="2"/>
              <w:keepNext w:val="0"/>
              <w:keepLines w:val="0"/>
              <w:pageBreakBefore w:val="0"/>
              <w:kinsoku/>
              <w:wordWrap/>
              <w:overflowPunct/>
              <w:topLinePunct w:val="0"/>
              <w:autoSpaceDE/>
              <w:autoSpaceDN/>
              <w:bidi w:val="0"/>
              <w:adjustRightInd/>
              <w:spacing w:line="500" w:lineRule="exact"/>
              <w:ind w:firstLine="0" w:firstLineChar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1.若</w:t>
            </w:r>
            <w:r>
              <w:rPr>
                <w:rFonts w:hint="eastAsia" w:ascii="仿宋" w:hAnsi="仿宋" w:eastAsia="仿宋" w:cs="仿宋"/>
                <w:color w:val="auto"/>
                <w:sz w:val="24"/>
                <w:szCs w:val="24"/>
                <w:highlight w:val="none"/>
                <w:lang w:val="en-US" w:eastAsia="zh-CN"/>
              </w:rPr>
              <w:t>需</w:t>
            </w:r>
            <w:r>
              <w:rPr>
                <w:rFonts w:hint="eastAsia" w:ascii="仿宋" w:hAnsi="仿宋" w:eastAsia="仿宋" w:cs="仿宋"/>
                <w:color w:val="auto"/>
                <w:sz w:val="24"/>
                <w:szCs w:val="24"/>
                <w:highlight w:val="none"/>
              </w:rPr>
              <w:t>自行踏勘，在踏勘现场中发生的费用、人员伤亡和财产损失均由</w:t>
            </w: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sz w:val="24"/>
                <w:szCs w:val="24"/>
                <w:highlight w:val="none"/>
              </w:rPr>
              <w:t>自行负责。</w:t>
            </w:r>
          </w:p>
          <w:p>
            <w:pPr>
              <w:pStyle w:val="2"/>
              <w:keepNext w:val="0"/>
              <w:keepLines w:val="0"/>
              <w:pageBreakBefore w:val="0"/>
              <w:kinsoku/>
              <w:wordWrap/>
              <w:overflowPunct/>
              <w:topLinePunct w:val="0"/>
              <w:autoSpaceDE/>
              <w:autoSpaceDN/>
              <w:bidi w:val="0"/>
              <w:adjustRightInd/>
              <w:spacing w:line="500" w:lineRule="exact"/>
              <w:ind w:firstLine="0" w:firstLineChars="0"/>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sz w:val="24"/>
                <w:szCs w:val="24"/>
                <w:highlight w:val="none"/>
              </w:rPr>
              <w:t>在踏勘现场中了解到的相关情况，仅供其在编制</w:t>
            </w:r>
            <w:r>
              <w:rPr>
                <w:rFonts w:hint="eastAsia" w:ascii="仿宋" w:hAnsi="仿宋" w:eastAsia="仿宋" w:cs="仿宋"/>
                <w:color w:val="auto"/>
                <w:sz w:val="24"/>
                <w:szCs w:val="24"/>
                <w:highlight w:val="none"/>
                <w:lang w:val="en-US" w:eastAsia="zh-CN"/>
              </w:rPr>
              <w:t>投标</w:t>
            </w:r>
            <w:r>
              <w:rPr>
                <w:rFonts w:hint="eastAsia" w:ascii="仿宋" w:hAnsi="仿宋" w:eastAsia="仿宋" w:cs="仿宋"/>
                <w:color w:val="auto"/>
                <w:sz w:val="24"/>
                <w:szCs w:val="24"/>
                <w:highlight w:val="none"/>
              </w:rPr>
              <w:t>文件时参考，</w:t>
            </w:r>
            <w:r>
              <w:rPr>
                <w:rFonts w:hint="eastAsia" w:ascii="仿宋" w:hAnsi="仿宋" w:eastAsia="仿宋" w:cs="仿宋"/>
                <w:color w:val="auto"/>
                <w:sz w:val="24"/>
                <w:szCs w:val="24"/>
                <w:highlight w:val="none"/>
                <w:lang w:val="en-US" w:eastAsia="zh-CN"/>
              </w:rPr>
              <w:t>采购</w:t>
            </w:r>
            <w:r>
              <w:rPr>
                <w:rFonts w:hint="eastAsia" w:ascii="仿宋" w:hAnsi="仿宋" w:eastAsia="仿宋" w:cs="仿宋"/>
                <w:color w:val="auto"/>
                <w:sz w:val="24"/>
                <w:szCs w:val="24"/>
                <w:highlight w:val="none"/>
              </w:rPr>
              <w:t>人不对据此作出的判断和决策负责。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w:t>
            </w:r>
          </w:p>
        </w:tc>
        <w:tc>
          <w:tcPr>
            <w:tcW w:w="1907" w:type="dxa"/>
            <w:tcBorders>
              <w:right w:val="nil"/>
            </w:tcBorders>
            <w:vAlign w:val="center"/>
          </w:tcPr>
          <w:p>
            <w:pPr>
              <w:pStyle w:val="2"/>
              <w:keepNext w:val="0"/>
              <w:keepLines w:val="0"/>
              <w:pageBreakBefore w:val="0"/>
              <w:kinsoku/>
              <w:wordWrap/>
              <w:overflowPunct/>
              <w:topLinePunct w:val="0"/>
              <w:autoSpaceDE/>
              <w:autoSpaceDN/>
              <w:bidi w:val="0"/>
              <w:adjustRightInd/>
              <w:spacing w:line="500" w:lineRule="exact"/>
              <w:ind w:firstLine="0" w:firstLineChars="0"/>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招标</w:t>
            </w:r>
            <w:r>
              <w:rPr>
                <w:rFonts w:hint="eastAsia" w:ascii="仿宋" w:hAnsi="仿宋" w:eastAsia="仿宋" w:cs="仿宋"/>
                <w:color w:val="auto"/>
                <w:sz w:val="24"/>
                <w:szCs w:val="24"/>
              </w:rPr>
              <w:t>文件</w:t>
            </w:r>
          </w:p>
        </w:tc>
        <w:tc>
          <w:tcPr>
            <w:tcW w:w="6109" w:type="dxa"/>
            <w:tcBorders>
              <w:left w:val="nil"/>
            </w:tcBorders>
            <w:vAlign w:val="center"/>
          </w:tcPr>
          <w:p>
            <w:pPr>
              <w:pStyle w:val="2"/>
              <w:keepNext w:val="0"/>
              <w:keepLines w:val="0"/>
              <w:pageBreakBefore w:val="0"/>
              <w:kinsoku/>
              <w:wordWrap/>
              <w:overflowPunct/>
              <w:topLinePunct w:val="0"/>
              <w:autoSpaceDE/>
              <w:autoSpaceDN/>
              <w:bidi w:val="0"/>
              <w:adjustRightInd/>
              <w:spacing w:line="500" w:lineRule="exact"/>
              <w:ind w:firstLine="0" w:firstLineChars="0"/>
              <w:rPr>
                <w:rFonts w:hint="eastAsia" w:ascii="仿宋" w:hAnsi="仿宋" w:eastAsia="仿宋" w:cs="仿宋"/>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highlight w:val="none"/>
                <w:lang w:val="en-US" w:eastAsia="zh-CN"/>
              </w:rPr>
              <w:t>3.1</w:t>
            </w:r>
          </w:p>
        </w:tc>
        <w:tc>
          <w:tcPr>
            <w:tcW w:w="1907"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lang w:val="en-US" w:eastAsia="zh-CN"/>
              </w:rPr>
              <w:t>招标</w:t>
            </w:r>
            <w:r>
              <w:rPr>
                <w:rFonts w:hint="eastAsia" w:ascii="仿宋" w:hAnsi="仿宋" w:eastAsia="仿宋" w:cs="仿宋"/>
                <w:color w:val="auto"/>
                <w:sz w:val="24"/>
                <w:szCs w:val="24"/>
                <w:highlight w:val="none"/>
              </w:rPr>
              <w:t>文件的</w:t>
            </w:r>
          </w:p>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highlight w:val="none"/>
                <w:lang w:val="en-US" w:eastAsia="zh-CN"/>
              </w:rPr>
              <w:t>说明、</w:t>
            </w:r>
            <w:r>
              <w:rPr>
                <w:rFonts w:hint="eastAsia" w:ascii="仿宋" w:hAnsi="仿宋" w:eastAsia="仿宋" w:cs="仿宋"/>
                <w:color w:val="auto"/>
                <w:sz w:val="24"/>
                <w:szCs w:val="24"/>
                <w:highlight w:val="none"/>
              </w:rPr>
              <w:t>澄清、修改</w:t>
            </w:r>
          </w:p>
        </w:tc>
        <w:tc>
          <w:tcPr>
            <w:tcW w:w="6109" w:type="dxa"/>
            <w:vAlign w:val="top"/>
          </w:tcPr>
          <w:p>
            <w:pPr>
              <w:keepNext w:val="0"/>
              <w:keepLines w:val="0"/>
              <w:pageBreakBefore w:val="0"/>
              <w:kinsoku/>
              <w:wordWrap/>
              <w:overflowPunct/>
              <w:topLinePunct w:val="0"/>
              <w:autoSpaceDE/>
              <w:autoSpaceDN/>
              <w:bidi w:val="0"/>
              <w:adjustRightInd/>
              <w:spacing w:line="500" w:lineRule="exact"/>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招标</w:t>
            </w:r>
            <w:r>
              <w:rPr>
                <w:rFonts w:hint="eastAsia" w:ascii="仿宋" w:hAnsi="仿宋" w:eastAsia="仿宋" w:cs="仿宋"/>
                <w:color w:val="auto"/>
                <w:sz w:val="24"/>
                <w:szCs w:val="24"/>
              </w:rPr>
              <w:t>文件发出后，</w:t>
            </w:r>
            <w:r>
              <w:rPr>
                <w:rFonts w:hint="eastAsia" w:ascii="仿宋" w:hAnsi="仿宋" w:eastAsia="仿宋" w:cs="仿宋"/>
                <w:color w:val="auto"/>
                <w:sz w:val="24"/>
                <w:szCs w:val="24"/>
                <w:lang w:val="en-US" w:eastAsia="zh-CN"/>
              </w:rPr>
              <w:t>代理机构对于招标文件中同一内容前后不一致、表述不准确、错误或瑕疵以外其他</w:t>
            </w:r>
            <w:r>
              <w:rPr>
                <w:rFonts w:hint="eastAsia" w:ascii="仿宋" w:hAnsi="仿宋" w:eastAsia="仿宋" w:cs="仿宋"/>
                <w:color w:val="auto"/>
                <w:sz w:val="24"/>
                <w:szCs w:val="24"/>
              </w:rPr>
              <w:t>必要澄清、修改</w:t>
            </w:r>
            <w:r>
              <w:rPr>
                <w:rFonts w:hint="eastAsia" w:ascii="仿宋" w:hAnsi="仿宋" w:eastAsia="仿宋" w:cs="仿宋"/>
                <w:color w:val="auto"/>
                <w:sz w:val="24"/>
                <w:szCs w:val="24"/>
                <w:lang w:val="en-US" w:eastAsia="zh-CN"/>
              </w:rPr>
              <w:t>的内容，以公告的形式进行通知，</w:t>
            </w:r>
            <w:r>
              <w:rPr>
                <w:rFonts w:hint="eastAsia" w:ascii="仿宋" w:hAnsi="仿宋" w:eastAsia="仿宋" w:cs="仿宋"/>
                <w:color w:val="auto"/>
                <w:sz w:val="24"/>
                <w:szCs w:val="24"/>
              </w:rPr>
              <w:t>澄清、修改</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说</w:t>
            </w:r>
            <w:r>
              <w:rPr>
                <w:rFonts w:hint="eastAsia" w:ascii="仿宋" w:hAnsi="仿宋" w:eastAsia="仿宋" w:cs="仿宋"/>
                <w:color w:val="auto"/>
                <w:sz w:val="24"/>
                <w:szCs w:val="24"/>
              </w:rPr>
              <w:t>明为</w:t>
            </w:r>
            <w:r>
              <w:rPr>
                <w:rFonts w:hint="eastAsia" w:ascii="仿宋" w:hAnsi="仿宋" w:eastAsia="仿宋" w:cs="仿宋"/>
                <w:color w:val="auto"/>
                <w:sz w:val="24"/>
                <w:szCs w:val="24"/>
                <w:lang w:val="en-US" w:eastAsia="zh-CN"/>
              </w:rPr>
              <w:t>招标</w:t>
            </w:r>
            <w:r>
              <w:rPr>
                <w:rFonts w:hint="eastAsia" w:ascii="仿宋" w:hAnsi="仿宋" w:eastAsia="仿宋" w:cs="仿宋"/>
                <w:color w:val="auto"/>
                <w:sz w:val="24"/>
                <w:szCs w:val="24"/>
              </w:rPr>
              <w:t>文件的有效组成部分</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影响</w:t>
            </w:r>
            <w:r>
              <w:rPr>
                <w:rFonts w:hint="eastAsia" w:ascii="仿宋" w:hAnsi="仿宋" w:eastAsia="仿宋" w:cs="仿宋"/>
                <w:color w:val="auto"/>
                <w:sz w:val="24"/>
                <w:szCs w:val="24"/>
                <w:lang w:val="en-US" w:eastAsia="zh-CN"/>
              </w:rPr>
              <w:t>投标</w:t>
            </w:r>
            <w:r>
              <w:rPr>
                <w:rFonts w:hint="eastAsia" w:ascii="仿宋" w:hAnsi="仿宋" w:eastAsia="仿宋" w:cs="仿宋"/>
                <w:color w:val="auto"/>
                <w:sz w:val="24"/>
                <w:szCs w:val="24"/>
              </w:rPr>
              <w:t>文件编制的澄清、修改或说明</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应在</w:t>
            </w:r>
            <w:r>
              <w:rPr>
                <w:rFonts w:hint="eastAsia" w:ascii="仿宋" w:hAnsi="仿宋" w:eastAsia="仿宋" w:cs="仿宋"/>
                <w:color w:val="auto"/>
                <w:sz w:val="24"/>
                <w:szCs w:val="24"/>
                <w:lang w:val="en-US" w:eastAsia="zh-CN"/>
              </w:rPr>
              <w:t>投标</w:t>
            </w:r>
            <w:r>
              <w:rPr>
                <w:rFonts w:hint="eastAsia" w:ascii="仿宋" w:hAnsi="仿宋" w:eastAsia="仿宋" w:cs="仿宋"/>
                <w:color w:val="auto"/>
                <w:sz w:val="24"/>
                <w:szCs w:val="24"/>
              </w:rPr>
              <w:t>截止</w:t>
            </w:r>
            <w:r>
              <w:rPr>
                <w:rFonts w:hint="eastAsia" w:ascii="仿宋" w:hAnsi="仿宋" w:eastAsia="仿宋" w:cs="仿宋"/>
                <w:color w:val="auto"/>
                <w:sz w:val="24"/>
                <w:szCs w:val="24"/>
                <w:lang w:val="en-US" w:eastAsia="zh-CN"/>
              </w:rPr>
              <w:t>时间至少1</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rPr>
              <w:t>日</w:t>
            </w:r>
            <w:r>
              <w:rPr>
                <w:rFonts w:hint="eastAsia" w:ascii="仿宋" w:hAnsi="仿宋" w:eastAsia="仿宋" w:cs="仿宋"/>
                <w:color w:val="auto"/>
                <w:sz w:val="24"/>
                <w:szCs w:val="24"/>
                <w:highlight w:val="none"/>
              </w:rPr>
              <w:t>前</w:t>
            </w:r>
            <w:r>
              <w:rPr>
                <w:rFonts w:hint="eastAsia" w:ascii="仿宋" w:hAnsi="仿宋" w:eastAsia="仿宋" w:cs="仿宋"/>
                <w:color w:val="auto"/>
                <w:sz w:val="24"/>
                <w:szCs w:val="24"/>
              </w:rPr>
              <w:t>进行，不足顺延。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default"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3.2</w:t>
            </w:r>
          </w:p>
        </w:tc>
        <w:tc>
          <w:tcPr>
            <w:tcW w:w="1907" w:type="dxa"/>
            <w:vAlign w:val="center"/>
          </w:tcPr>
          <w:p>
            <w:pPr>
              <w:keepNext w:val="0"/>
              <w:keepLines w:val="0"/>
              <w:pageBreakBefore w:val="0"/>
              <w:widowControl/>
              <w:kinsoku/>
              <w:wordWrap/>
              <w:overflowPunct/>
              <w:topLinePunct w:val="0"/>
              <w:autoSpaceDE/>
              <w:autoSpaceDN/>
              <w:bidi w:val="0"/>
              <w:adjustRightInd/>
              <w:spacing w:beforeAutospacing="0" w:afterAutospacing="0" w:line="50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0"/>
                <w:sz w:val="24"/>
                <w:szCs w:val="24"/>
                <w:highlight w:val="none"/>
                <w:lang w:val="en-US" w:eastAsia="zh-CN"/>
              </w:rPr>
              <w:t>供应商对</w:t>
            </w:r>
            <w:r>
              <w:rPr>
                <w:rFonts w:hint="eastAsia" w:ascii="仿宋" w:hAnsi="仿宋" w:eastAsia="仿宋" w:cs="仿宋"/>
                <w:color w:val="auto"/>
                <w:sz w:val="24"/>
                <w:szCs w:val="24"/>
                <w:highlight w:val="none"/>
                <w:lang w:val="en-US" w:eastAsia="zh-CN"/>
              </w:rPr>
              <w:t>招标</w:t>
            </w:r>
            <w:r>
              <w:rPr>
                <w:rFonts w:hint="eastAsia" w:ascii="仿宋" w:hAnsi="仿宋" w:eastAsia="仿宋" w:cs="仿宋"/>
                <w:color w:val="auto"/>
                <w:kern w:val="0"/>
                <w:sz w:val="24"/>
                <w:szCs w:val="24"/>
                <w:highlight w:val="none"/>
                <w:lang w:val="en-US" w:eastAsia="zh-CN"/>
              </w:rPr>
              <w:t>文件的</w:t>
            </w:r>
            <w:r>
              <w:rPr>
                <w:rFonts w:hint="eastAsia" w:ascii="仿宋" w:hAnsi="仿宋" w:eastAsia="仿宋" w:cs="仿宋"/>
                <w:color w:val="auto"/>
                <w:sz w:val="24"/>
                <w:szCs w:val="24"/>
                <w:highlight w:val="none"/>
                <w:lang w:val="en-US" w:eastAsia="zh-CN"/>
              </w:rPr>
              <w:t>咨询</w:t>
            </w:r>
          </w:p>
        </w:tc>
        <w:tc>
          <w:tcPr>
            <w:tcW w:w="6109" w:type="dxa"/>
            <w:vAlign w:val="top"/>
          </w:tcPr>
          <w:p>
            <w:pPr>
              <w:keepNext w:val="0"/>
              <w:keepLines w:val="0"/>
              <w:pageBreakBefore w:val="0"/>
              <w:widowControl/>
              <w:numPr>
                <w:ilvl w:val="0"/>
                <w:numId w:val="1"/>
              </w:numPr>
              <w:kinsoku/>
              <w:wordWrap/>
              <w:overflowPunct/>
              <w:topLinePunct w:val="0"/>
              <w:autoSpaceDE/>
              <w:autoSpaceDN/>
              <w:bidi w:val="0"/>
              <w:adjustRightInd/>
              <w:spacing w:beforeAutospacing="0" w:afterAutospacing="0" w:line="500" w:lineRule="exact"/>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供应商获取招标文件后，应认真阅读和充分理解招标文件中所有的事项、格式条款和规范要求。供应商自行承担未对招标文件全面做出实质性响应所产生的风险。</w:t>
            </w:r>
          </w:p>
          <w:p>
            <w:pPr>
              <w:keepNext w:val="0"/>
              <w:keepLines w:val="0"/>
              <w:pageBreakBefore w:val="0"/>
              <w:widowControl/>
              <w:numPr>
                <w:ilvl w:val="0"/>
                <w:numId w:val="1"/>
              </w:numPr>
              <w:kinsoku/>
              <w:wordWrap/>
              <w:overflowPunct/>
              <w:topLinePunct w:val="0"/>
              <w:autoSpaceDE/>
              <w:autoSpaceDN/>
              <w:bidi w:val="0"/>
              <w:adjustRightInd/>
              <w:spacing w:beforeAutospacing="0" w:afterAutospacing="0" w:line="500" w:lineRule="exac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highlight w:val="none"/>
                <w:lang w:val="en-US" w:eastAsia="zh-CN"/>
              </w:rPr>
              <w:t>对于</w:t>
            </w:r>
            <w:r>
              <w:rPr>
                <w:rFonts w:hint="eastAsia" w:ascii="仿宋" w:hAnsi="仿宋" w:eastAsia="仿宋" w:cs="仿宋"/>
                <w:color w:val="auto"/>
                <w:sz w:val="24"/>
                <w:szCs w:val="24"/>
                <w:highlight w:val="none"/>
                <w:lang w:val="en-US" w:eastAsia="zh-CN"/>
              </w:rPr>
              <w:t>招标</w:t>
            </w:r>
            <w:r>
              <w:rPr>
                <w:rFonts w:hint="eastAsia" w:ascii="仿宋" w:hAnsi="仿宋" w:eastAsia="仿宋" w:cs="仿宋"/>
                <w:color w:val="auto"/>
                <w:sz w:val="24"/>
                <w:highlight w:val="none"/>
                <w:lang w:val="en-US" w:eastAsia="zh-CN"/>
              </w:rPr>
              <w:t>文件中出现的不一致、错误、漏项或其他问题，供应商应及时向代理公司提出咨询、确认，否则应视为其完全理解和接受</w:t>
            </w:r>
            <w:r>
              <w:rPr>
                <w:rFonts w:hint="eastAsia" w:ascii="仿宋" w:hAnsi="仿宋" w:eastAsia="仿宋" w:cs="仿宋"/>
                <w:color w:val="auto"/>
                <w:sz w:val="24"/>
                <w:szCs w:val="24"/>
                <w:highlight w:val="none"/>
                <w:lang w:val="en-US" w:eastAsia="zh-CN"/>
              </w:rPr>
              <w:t>招标</w:t>
            </w:r>
            <w:r>
              <w:rPr>
                <w:rFonts w:hint="eastAsia" w:ascii="仿宋" w:hAnsi="仿宋" w:eastAsia="仿宋" w:cs="仿宋"/>
                <w:color w:val="auto"/>
                <w:sz w:val="24"/>
                <w:highlight w:val="none"/>
                <w:lang w:val="en-US" w:eastAsia="zh-CN"/>
              </w:rPr>
              <w:t>文件，对此造成的投标不良后果供应商自担</w:t>
            </w:r>
            <w:r>
              <w:rPr>
                <w:rFonts w:hint="eastAsia" w:ascii="仿宋" w:hAnsi="仿宋" w:eastAsia="仿宋" w:cs="仿宋"/>
                <w:color w:val="auto"/>
                <w:sz w:val="24"/>
                <w:szCs w:val="24"/>
                <w:highlight w:val="none"/>
                <w:lang w:val="en-US" w:eastAsia="zh-CN"/>
              </w:rPr>
              <w:t>。</w:t>
            </w:r>
          </w:p>
          <w:p>
            <w:pPr>
              <w:keepNext w:val="0"/>
              <w:keepLines w:val="0"/>
              <w:pageBreakBefore w:val="0"/>
              <w:widowControl/>
              <w:numPr>
                <w:ilvl w:val="0"/>
                <w:numId w:val="0"/>
              </w:numPr>
              <w:kinsoku/>
              <w:wordWrap/>
              <w:overflowPunct/>
              <w:topLinePunct w:val="0"/>
              <w:autoSpaceDE/>
              <w:autoSpaceDN/>
              <w:bidi w:val="0"/>
              <w:adjustRightInd/>
              <w:spacing w:beforeAutospacing="0" w:afterAutospacing="0" w:line="500" w:lineRule="exact"/>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3.对于供应商对</w:t>
            </w:r>
            <w:r>
              <w:rPr>
                <w:rFonts w:hint="eastAsia" w:ascii="仿宋" w:hAnsi="仿宋" w:eastAsia="仿宋" w:cs="仿宋"/>
                <w:color w:val="auto"/>
                <w:sz w:val="24"/>
                <w:szCs w:val="24"/>
                <w:highlight w:val="none"/>
                <w:lang w:val="en-US" w:eastAsia="zh-CN"/>
              </w:rPr>
              <w:t>招标</w:t>
            </w:r>
            <w:r>
              <w:rPr>
                <w:rFonts w:hint="eastAsia" w:ascii="仿宋" w:hAnsi="仿宋" w:eastAsia="仿宋" w:cs="仿宋"/>
                <w:color w:val="auto"/>
                <w:kern w:val="0"/>
                <w:sz w:val="24"/>
                <w:szCs w:val="24"/>
                <w:highlight w:val="none"/>
                <w:lang w:val="en-US" w:eastAsia="zh-CN"/>
              </w:rPr>
              <w:t>文件的自我理解、判定、推测等造成的不利后果，由供应商自行承担。</w:t>
            </w:r>
          </w:p>
          <w:p>
            <w:pPr>
              <w:keepNext w:val="0"/>
              <w:keepLines w:val="0"/>
              <w:pageBreakBefore w:val="0"/>
              <w:widowControl/>
              <w:numPr>
                <w:ilvl w:val="0"/>
                <w:numId w:val="0"/>
              </w:numPr>
              <w:kinsoku/>
              <w:wordWrap/>
              <w:overflowPunct/>
              <w:topLinePunct w:val="0"/>
              <w:autoSpaceDE/>
              <w:autoSpaceDN/>
              <w:bidi w:val="0"/>
              <w:adjustRightInd/>
              <w:spacing w:beforeAutospacing="0" w:afterAutospacing="0" w:line="500" w:lineRule="exact"/>
              <w:rPr>
                <w:rFonts w:hint="eastAsia" w:ascii="仿宋" w:hAnsi="仿宋" w:eastAsia="仿宋" w:cs="仿宋"/>
                <w:color w:val="auto"/>
                <w:sz w:val="24"/>
                <w:szCs w:val="24"/>
                <w:highlight w:val="none"/>
                <w:lang w:val="en-US" w:eastAsia="zh-CN"/>
              </w:rPr>
            </w:pPr>
            <w:r>
              <w:rPr>
                <w:rFonts w:hint="eastAsia" w:ascii="仿宋" w:hAnsi="仿宋" w:eastAsia="仿宋" w:cs="仿宋"/>
                <w:color w:val="auto"/>
                <w:kern w:val="0"/>
                <w:sz w:val="24"/>
                <w:szCs w:val="24"/>
                <w:highlight w:val="none"/>
                <w:lang w:val="en-US" w:eastAsia="zh-CN"/>
              </w:rPr>
              <w:t>4.对于供应商未及时查看获取</w:t>
            </w:r>
            <w:r>
              <w:rPr>
                <w:rFonts w:hint="eastAsia" w:ascii="仿宋" w:hAnsi="仿宋" w:eastAsia="仿宋" w:cs="仿宋"/>
                <w:color w:val="auto"/>
                <w:sz w:val="24"/>
                <w:szCs w:val="24"/>
                <w:highlight w:val="none"/>
                <w:lang w:val="en-US" w:eastAsia="zh-CN"/>
              </w:rPr>
              <w:t>项目相关信息造成的不利后果，责任自负</w:t>
            </w:r>
            <w:r>
              <w:rPr>
                <w:rFonts w:hint="eastAsia" w:ascii="仿宋" w:hAnsi="仿宋" w:eastAsia="仿宋" w:cs="仿宋"/>
                <w:color w:val="auto"/>
                <w:kern w:val="0"/>
                <w:sz w:val="24"/>
                <w:szCs w:val="24"/>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4</w:t>
            </w:r>
          </w:p>
        </w:tc>
        <w:tc>
          <w:tcPr>
            <w:tcW w:w="1907"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供应商对相关通知的确认</w:t>
            </w:r>
          </w:p>
        </w:tc>
        <w:tc>
          <w:tcPr>
            <w:tcW w:w="6109" w:type="dxa"/>
            <w:vAlign w:val="top"/>
          </w:tcPr>
          <w:p>
            <w:pPr>
              <w:keepNext w:val="0"/>
              <w:keepLines w:val="0"/>
              <w:pageBreakBefore w:val="0"/>
              <w:kinsoku/>
              <w:wordWrap/>
              <w:overflowPunct/>
              <w:topLinePunct w:val="0"/>
              <w:autoSpaceDE/>
              <w:autoSpaceDN/>
              <w:bidi w:val="0"/>
              <w:adjustRightInd/>
              <w:spacing w:line="500" w:lineRule="exact"/>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供应商应及时关注了解并掌握本项目相关信息的变化、通知，按照变化后的要求编制投标文件，否则后果自负。采购人或代理机构不承担由于供应商信息错误、人员变动等原因造成的信息接收不及时、不准确及传递有误等造成的不良后果</w:t>
            </w:r>
            <w:r>
              <w:rPr>
                <w:rFonts w:hint="eastAsia" w:ascii="仿宋" w:hAnsi="仿宋" w:eastAsia="仿宋" w:cs="仿宋"/>
                <w:color w:val="auto"/>
                <w:kern w:val="2"/>
                <w:sz w:val="24"/>
                <w:szCs w:val="24"/>
                <w:highlight w:val="none"/>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w:t>
            </w:r>
          </w:p>
        </w:tc>
        <w:tc>
          <w:tcPr>
            <w:tcW w:w="1907" w:type="dxa"/>
            <w:tcBorders>
              <w:right w:val="nil"/>
            </w:tcBorders>
            <w:vAlign w:val="center"/>
          </w:tcPr>
          <w:p>
            <w:pPr>
              <w:pStyle w:val="10"/>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投标</w:t>
            </w:r>
            <w:r>
              <w:rPr>
                <w:rFonts w:hint="eastAsia" w:ascii="仿宋" w:hAnsi="仿宋" w:eastAsia="仿宋" w:cs="仿宋"/>
                <w:color w:val="auto"/>
                <w:sz w:val="24"/>
                <w:szCs w:val="24"/>
              </w:rPr>
              <w:t>文件</w:t>
            </w:r>
          </w:p>
        </w:tc>
        <w:tc>
          <w:tcPr>
            <w:tcW w:w="6109" w:type="dxa"/>
            <w:tcBorders>
              <w:left w:val="nil"/>
            </w:tcBorders>
            <w:vAlign w:val="top"/>
          </w:tcPr>
          <w:p>
            <w:pPr>
              <w:keepNext w:val="0"/>
              <w:keepLines w:val="0"/>
              <w:pageBreakBefore w:val="0"/>
              <w:kinsoku/>
              <w:wordWrap/>
              <w:overflowPunct/>
              <w:topLinePunct w:val="0"/>
              <w:autoSpaceDE/>
              <w:autoSpaceDN/>
              <w:bidi w:val="0"/>
              <w:adjustRightInd/>
              <w:spacing w:line="500" w:lineRule="exact"/>
              <w:rPr>
                <w:rFonts w:hint="eastAsia" w:ascii="仿宋" w:hAnsi="仿宋" w:eastAsia="仿宋" w:cs="仿宋"/>
                <w:color w:val="auto"/>
                <w:kern w:val="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5.1</w:t>
            </w:r>
          </w:p>
        </w:tc>
        <w:tc>
          <w:tcPr>
            <w:tcW w:w="1907" w:type="dxa"/>
            <w:vAlign w:val="center"/>
          </w:tcPr>
          <w:p>
            <w:pPr>
              <w:pStyle w:val="10"/>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lang w:val="en-US" w:eastAsia="zh-CN"/>
              </w:rPr>
              <w:t>供应商对投标文件的补充、修改、澄清</w:t>
            </w:r>
          </w:p>
        </w:tc>
        <w:tc>
          <w:tcPr>
            <w:tcW w:w="6109" w:type="dxa"/>
            <w:vAlign w:val="top"/>
          </w:tcPr>
          <w:p>
            <w:pPr>
              <w:keepNext w:val="0"/>
              <w:keepLines w:val="0"/>
              <w:pageBreakBefore w:val="0"/>
              <w:kinsoku/>
              <w:wordWrap/>
              <w:overflowPunct/>
              <w:topLinePunct w:val="0"/>
              <w:autoSpaceDE/>
              <w:autoSpaceDN/>
              <w:bidi w:val="0"/>
              <w:adjustRightInd/>
              <w:spacing w:line="500" w:lineRule="exact"/>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lang w:val="en-US" w:eastAsia="zh-CN"/>
              </w:rPr>
              <w:t>在投标截止时间前，供应商</w:t>
            </w:r>
            <w:r>
              <w:rPr>
                <w:rFonts w:hint="eastAsia" w:ascii="仿宋" w:hAnsi="仿宋" w:eastAsia="仿宋" w:cs="仿宋"/>
                <w:color w:val="auto"/>
                <w:kern w:val="0"/>
                <w:sz w:val="24"/>
                <w:szCs w:val="24"/>
              </w:rPr>
              <w:t>可以对</w:t>
            </w:r>
            <w:r>
              <w:rPr>
                <w:rFonts w:hint="eastAsia" w:ascii="仿宋" w:hAnsi="仿宋" w:eastAsia="仿宋" w:cs="仿宋"/>
                <w:color w:val="auto"/>
                <w:kern w:val="0"/>
                <w:sz w:val="24"/>
                <w:szCs w:val="24"/>
                <w:lang w:val="en-US" w:eastAsia="zh-CN"/>
              </w:rPr>
              <w:t>投标</w:t>
            </w:r>
            <w:r>
              <w:rPr>
                <w:rFonts w:hint="eastAsia" w:ascii="仿宋" w:hAnsi="仿宋" w:eastAsia="仿宋" w:cs="仿宋"/>
                <w:color w:val="auto"/>
                <w:kern w:val="0"/>
                <w:sz w:val="24"/>
                <w:szCs w:val="24"/>
              </w:rPr>
              <w:t>文件进行补充、修改或者撤回。补充、修改</w:t>
            </w:r>
            <w:r>
              <w:rPr>
                <w:rFonts w:hint="eastAsia" w:ascii="仿宋" w:hAnsi="仿宋" w:eastAsia="仿宋" w:cs="仿宋"/>
                <w:color w:val="auto"/>
                <w:kern w:val="0"/>
                <w:sz w:val="24"/>
                <w:szCs w:val="24"/>
                <w:lang w:eastAsia="zh-CN"/>
              </w:rPr>
              <w:t>、</w:t>
            </w:r>
            <w:r>
              <w:rPr>
                <w:rFonts w:hint="eastAsia" w:ascii="仿宋" w:hAnsi="仿宋" w:eastAsia="仿宋" w:cs="仿宋"/>
                <w:color w:val="auto"/>
                <w:kern w:val="0"/>
                <w:sz w:val="24"/>
                <w:szCs w:val="24"/>
                <w:lang w:val="en-US" w:eastAsia="zh-CN"/>
              </w:rPr>
              <w:t>澄清</w:t>
            </w:r>
            <w:r>
              <w:rPr>
                <w:rFonts w:hint="eastAsia" w:ascii="仿宋" w:hAnsi="仿宋" w:eastAsia="仿宋" w:cs="仿宋"/>
                <w:color w:val="auto"/>
                <w:kern w:val="0"/>
                <w:sz w:val="24"/>
                <w:szCs w:val="24"/>
              </w:rPr>
              <w:t>的内容作为</w:t>
            </w:r>
            <w:r>
              <w:rPr>
                <w:rFonts w:hint="eastAsia" w:ascii="仿宋" w:hAnsi="仿宋" w:eastAsia="仿宋" w:cs="仿宋"/>
                <w:color w:val="auto"/>
                <w:kern w:val="0"/>
                <w:sz w:val="24"/>
                <w:szCs w:val="24"/>
                <w:lang w:val="en-US" w:eastAsia="zh-CN"/>
              </w:rPr>
              <w:t>投标</w:t>
            </w:r>
            <w:r>
              <w:rPr>
                <w:rFonts w:hint="eastAsia" w:ascii="仿宋" w:hAnsi="仿宋" w:eastAsia="仿宋" w:cs="仿宋"/>
                <w:color w:val="auto"/>
                <w:kern w:val="0"/>
                <w:sz w:val="24"/>
                <w:szCs w:val="24"/>
              </w:rPr>
              <w:t>文件的组成部分。以</w:t>
            </w:r>
            <w:r>
              <w:rPr>
                <w:rFonts w:hint="eastAsia" w:ascii="仿宋" w:hAnsi="仿宋" w:eastAsia="仿宋" w:cs="仿宋"/>
                <w:color w:val="auto"/>
                <w:kern w:val="0"/>
                <w:sz w:val="24"/>
                <w:szCs w:val="24"/>
                <w:lang w:val="en-US" w:eastAsia="zh-CN"/>
              </w:rPr>
              <w:t>最后</w:t>
            </w:r>
            <w:r>
              <w:rPr>
                <w:rFonts w:hint="eastAsia" w:ascii="仿宋" w:hAnsi="仿宋" w:eastAsia="仿宋" w:cs="仿宋"/>
                <w:color w:val="auto"/>
                <w:kern w:val="0"/>
                <w:sz w:val="24"/>
                <w:szCs w:val="24"/>
              </w:rPr>
              <w:t>补充、修改的内容为准。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5.2</w:t>
            </w:r>
          </w:p>
        </w:tc>
        <w:tc>
          <w:tcPr>
            <w:tcW w:w="1907"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highlight w:val="none"/>
                <w:lang w:val="en-US" w:eastAsia="zh-CN"/>
              </w:rPr>
              <w:t>投标</w:t>
            </w:r>
            <w:r>
              <w:rPr>
                <w:rFonts w:hint="eastAsia" w:ascii="仿宋" w:hAnsi="仿宋" w:eastAsia="仿宋" w:cs="仿宋"/>
                <w:color w:val="auto"/>
                <w:sz w:val="24"/>
                <w:szCs w:val="24"/>
                <w:highlight w:val="none"/>
              </w:rPr>
              <w:t>报价</w:t>
            </w:r>
          </w:p>
        </w:tc>
        <w:tc>
          <w:tcPr>
            <w:tcW w:w="6109" w:type="dxa"/>
            <w:vAlign w:val="center"/>
          </w:tcPr>
          <w:p>
            <w:pPr>
              <w:keepNext w:val="0"/>
              <w:keepLines w:val="0"/>
              <w:pageBreakBefore w:val="0"/>
              <w:kinsoku/>
              <w:wordWrap/>
              <w:overflowPunct/>
              <w:topLinePunct w:val="0"/>
              <w:autoSpaceDE/>
              <w:autoSpaceDN/>
              <w:bidi w:val="0"/>
              <w:adjustRightInd/>
              <w:spacing w:line="50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rPr>
              <w:t>1.人民币报价</w:t>
            </w:r>
            <w:r>
              <w:rPr>
                <w:rFonts w:hint="eastAsia" w:ascii="仿宋" w:hAnsi="仿宋" w:eastAsia="仿宋" w:cs="仿宋"/>
                <w:color w:val="auto"/>
                <w:sz w:val="24"/>
                <w:szCs w:val="24"/>
                <w:highlight w:val="none"/>
                <w:lang w:val="en-US" w:eastAsia="zh-CN"/>
              </w:rPr>
              <w:t>，为含税价</w:t>
            </w:r>
            <w:r>
              <w:rPr>
                <w:rFonts w:hint="eastAsia" w:ascii="仿宋" w:hAnsi="仿宋" w:eastAsia="仿宋" w:cs="仿宋"/>
                <w:color w:val="auto"/>
                <w:sz w:val="24"/>
                <w:szCs w:val="24"/>
                <w:highlight w:val="none"/>
              </w:rPr>
              <w:t>。</w:t>
            </w:r>
          </w:p>
          <w:p>
            <w:pPr>
              <w:keepNext w:val="0"/>
              <w:keepLines w:val="0"/>
              <w:pageBreakBefore w:val="0"/>
              <w:kinsoku/>
              <w:wordWrap/>
              <w:overflowPunct/>
              <w:topLinePunct w:val="0"/>
              <w:autoSpaceDE/>
              <w:autoSpaceDN/>
              <w:bidi w:val="0"/>
              <w:adjustRightInd/>
              <w:spacing w:line="500" w:lineRule="exact"/>
              <w:rPr>
                <w:rFonts w:hint="eastAsia" w:ascii="仿宋" w:hAnsi="仿宋" w:eastAsia="仿宋" w:cs="仿宋"/>
                <w:strike/>
                <w:dstrike w:val="0"/>
                <w:color w:val="auto"/>
                <w:sz w:val="24"/>
                <w:szCs w:val="24"/>
                <w:highlight w:val="none"/>
                <w:lang w:val="en-US" w:eastAsia="zh-CN"/>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本项目为固定总价合同（全费用交钥匙价），完成本项目所发生的可预见和不可预见的一切费用，采购人不再支付任何费用（合同另有约定的事项除外）。</w:t>
            </w:r>
          </w:p>
          <w:p>
            <w:pPr>
              <w:keepNext w:val="0"/>
              <w:keepLines w:val="0"/>
              <w:pageBreakBefore w:val="0"/>
              <w:numPr>
                <w:ilvl w:val="0"/>
                <w:numId w:val="0"/>
              </w:numPr>
              <w:kinsoku/>
              <w:wordWrap/>
              <w:overflowPunct/>
              <w:topLinePunct w:val="0"/>
              <w:autoSpaceDE/>
              <w:autoSpaceDN/>
              <w:bidi w:val="0"/>
              <w:adjustRightInd/>
              <w:snapToGrid w:val="0"/>
              <w:spacing w:line="500" w:lineRule="exact"/>
              <w:ind w:leftChars="0"/>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本项目中标价在合同期内应固定不变。（法定情形除外）</w:t>
            </w:r>
          </w:p>
          <w:p>
            <w:pPr>
              <w:keepNext w:val="0"/>
              <w:keepLines w:val="0"/>
              <w:pageBreakBefore w:val="0"/>
              <w:numPr>
                <w:ilvl w:val="0"/>
                <w:numId w:val="0"/>
              </w:numPr>
              <w:kinsoku/>
              <w:wordWrap/>
              <w:overflowPunct/>
              <w:topLinePunct w:val="0"/>
              <w:autoSpaceDE/>
              <w:autoSpaceDN/>
              <w:bidi w:val="0"/>
              <w:adjustRightInd/>
              <w:snapToGrid w:val="0"/>
              <w:spacing w:line="500" w:lineRule="exact"/>
              <w:ind w:leftChars="0"/>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供应商应全面考虑风险，及时了解和掌握项目情况及所在地区与本项目相关的政策、规定及价格等情况，结合企业自身技术力量、装备管理水平及市场行情，做到报价准确合理、合法合规，减少失误。报价不得违反《价格法》和《反不正当竞争法》的相关规定。因误读、理解偏差、对文件、项目或政策了解不全等原因造成的后果，将按照对采购人有利的方法进行处理，不利后果由供应商自行承担。</w:t>
            </w:r>
          </w:p>
          <w:p>
            <w:pPr>
              <w:keepNext w:val="0"/>
              <w:keepLines w:val="0"/>
              <w:pageBreakBefore w:val="0"/>
              <w:numPr>
                <w:ilvl w:val="0"/>
                <w:numId w:val="0"/>
              </w:numPr>
              <w:kinsoku/>
              <w:wordWrap/>
              <w:overflowPunct/>
              <w:topLinePunct w:val="0"/>
              <w:autoSpaceDE/>
              <w:autoSpaceDN/>
              <w:bidi w:val="0"/>
              <w:adjustRightInd/>
              <w:snapToGrid w:val="0"/>
              <w:spacing w:line="500" w:lineRule="exact"/>
              <w:ind w:leftChars="0"/>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5.供应商</w:t>
            </w:r>
            <w:r>
              <w:rPr>
                <w:rFonts w:hint="eastAsia" w:ascii="仿宋" w:hAnsi="仿宋" w:eastAsia="仿宋" w:cs="仿宋"/>
                <w:color w:val="auto"/>
                <w:sz w:val="24"/>
                <w:szCs w:val="24"/>
                <w:lang w:val="en-US" w:eastAsia="zh-CN"/>
              </w:rPr>
              <w:t>应</w:t>
            </w:r>
            <w:r>
              <w:rPr>
                <w:rFonts w:hint="eastAsia" w:ascii="仿宋" w:hAnsi="仿宋" w:eastAsia="仿宋" w:cs="仿宋"/>
                <w:color w:val="auto"/>
                <w:sz w:val="24"/>
                <w:szCs w:val="24"/>
                <w:highlight w:val="none"/>
                <w:lang w:val="en-US" w:eastAsia="zh-CN"/>
              </w:rPr>
              <w:t>严格执行</w:t>
            </w:r>
            <w:r>
              <w:rPr>
                <w:rFonts w:hint="eastAsia" w:ascii="仿宋" w:hAnsi="仿宋" w:eastAsia="仿宋" w:cs="仿宋"/>
                <w:color w:val="auto"/>
                <w:sz w:val="24"/>
                <w:szCs w:val="24"/>
              </w:rPr>
              <w:t>国家</w:t>
            </w:r>
            <w:r>
              <w:rPr>
                <w:rFonts w:hint="eastAsia" w:ascii="仿宋" w:hAnsi="仿宋" w:eastAsia="仿宋" w:cs="仿宋"/>
                <w:color w:val="auto"/>
                <w:sz w:val="24"/>
                <w:szCs w:val="24"/>
                <w:lang w:val="en-US" w:eastAsia="zh-CN"/>
              </w:rPr>
              <w:t>或</w:t>
            </w:r>
            <w:r>
              <w:rPr>
                <w:rFonts w:hint="eastAsia" w:ascii="仿宋" w:hAnsi="仿宋" w:eastAsia="仿宋" w:cs="仿宋"/>
                <w:color w:val="auto"/>
                <w:sz w:val="24"/>
                <w:szCs w:val="24"/>
              </w:rPr>
              <w:t>行业强制性规定</w:t>
            </w:r>
            <w:r>
              <w:rPr>
                <w:rFonts w:hint="eastAsia" w:ascii="仿宋" w:hAnsi="仿宋" w:eastAsia="仿宋" w:cs="仿宋"/>
                <w:color w:val="auto"/>
                <w:sz w:val="24"/>
                <w:szCs w:val="24"/>
                <w:highlight w:val="none"/>
                <w:lang w:val="en-US" w:eastAsia="zh-CN"/>
              </w:rPr>
              <w:t>执行</w:t>
            </w:r>
            <w:r>
              <w:rPr>
                <w:rFonts w:hint="eastAsia" w:ascii="仿宋" w:hAnsi="仿宋" w:eastAsia="仿宋" w:cs="仿宋"/>
                <w:color w:val="auto"/>
                <w:sz w:val="24"/>
                <w:szCs w:val="24"/>
              </w:rPr>
              <w:t>，不</w:t>
            </w:r>
            <w:r>
              <w:rPr>
                <w:rFonts w:hint="eastAsia" w:ascii="仿宋" w:hAnsi="仿宋" w:eastAsia="仿宋" w:cs="仿宋"/>
                <w:color w:val="auto"/>
                <w:sz w:val="24"/>
                <w:szCs w:val="24"/>
                <w:lang w:val="en-US" w:eastAsia="zh-CN"/>
              </w:rPr>
              <w:t>得</w:t>
            </w:r>
            <w:r>
              <w:rPr>
                <w:rFonts w:hint="eastAsia" w:ascii="仿宋" w:hAnsi="仿宋" w:eastAsia="仿宋" w:cs="仿宋"/>
                <w:color w:val="auto"/>
                <w:sz w:val="24"/>
                <w:szCs w:val="24"/>
              </w:rPr>
              <w:t>违反</w:t>
            </w:r>
            <w:r>
              <w:rPr>
                <w:rFonts w:hint="eastAsia" w:ascii="仿宋" w:hAnsi="仿宋" w:eastAsia="仿宋" w:cs="仿宋"/>
                <w:color w:val="auto"/>
                <w:sz w:val="24"/>
                <w:szCs w:val="24"/>
                <w:lang w:val="en-US" w:eastAsia="zh-CN"/>
              </w:rPr>
              <w:t>相关</w:t>
            </w:r>
            <w:r>
              <w:rPr>
                <w:rFonts w:hint="eastAsia" w:ascii="仿宋" w:hAnsi="仿宋" w:eastAsia="仿宋" w:cs="仿宋"/>
                <w:color w:val="auto"/>
                <w:sz w:val="24"/>
                <w:szCs w:val="24"/>
              </w:rPr>
              <w:t>法律法规</w:t>
            </w:r>
            <w:r>
              <w:rPr>
                <w:rFonts w:hint="eastAsia" w:ascii="仿宋" w:hAnsi="仿宋" w:eastAsia="仿宋" w:cs="仿宋"/>
                <w:color w:val="auto"/>
                <w:sz w:val="24"/>
                <w:szCs w:val="24"/>
                <w:lang w:val="en-US" w:eastAsia="zh-CN"/>
              </w:rPr>
              <w:t>及政策性文件等。</w:t>
            </w:r>
          </w:p>
          <w:p>
            <w:pPr>
              <w:keepNext w:val="0"/>
              <w:keepLines w:val="0"/>
              <w:pageBreakBefore w:val="0"/>
              <w:numPr>
                <w:ilvl w:val="0"/>
                <w:numId w:val="0"/>
              </w:numPr>
              <w:kinsoku/>
              <w:wordWrap/>
              <w:overflowPunct/>
              <w:topLinePunct w:val="0"/>
              <w:autoSpaceDE/>
              <w:autoSpaceDN/>
              <w:bidi w:val="0"/>
              <w:adjustRightInd/>
              <w:snapToGrid w:val="0"/>
              <w:spacing w:line="500" w:lineRule="exact"/>
              <w:ind w:left="0" w:leftChars="0" w:firstLine="0" w:firstLineChars="0"/>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highlight w:val="none"/>
                <w:lang w:val="en-US" w:eastAsia="zh-CN"/>
              </w:rPr>
              <w:t>6.报价风险自担，但无论多报或少报均视为包含完成项目的所有费用，且采购种类、品质、数量及服务内容均以采购要求为准。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5.3</w:t>
            </w:r>
          </w:p>
        </w:tc>
        <w:tc>
          <w:tcPr>
            <w:tcW w:w="1907"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highlight w:val="none"/>
                <w:lang w:val="en-US" w:eastAsia="zh-CN"/>
              </w:rPr>
              <w:t>异常低价</w:t>
            </w:r>
          </w:p>
        </w:tc>
        <w:tc>
          <w:tcPr>
            <w:tcW w:w="6109" w:type="dxa"/>
            <w:vAlign w:val="center"/>
          </w:tcPr>
          <w:p>
            <w:pPr>
              <w:keepNext w:val="0"/>
              <w:keepLines w:val="0"/>
              <w:pageBreakBefore w:val="0"/>
              <w:numPr>
                <w:ilvl w:val="0"/>
                <w:numId w:val="2"/>
              </w:numPr>
              <w:kinsoku/>
              <w:wordWrap/>
              <w:overflowPunct/>
              <w:topLinePunct w:val="0"/>
              <w:autoSpaceDE/>
              <w:autoSpaceDN/>
              <w:bidi w:val="0"/>
              <w:adjustRightInd/>
              <w:spacing w:line="500" w:lineRule="exac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供应商以不合理的价格进行投标，会扰乱采购市场，造成供应商之间的恶性价格竞争，违背公平竞争、公正原则和诚实信用原则</w:t>
            </w:r>
            <w:r>
              <w:rPr>
                <w:rFonts w:hint="eastAsia" w:ascii="仿宋" w:hAnsi="仿宋" w:eastAsia="仿宋" w:cs="仿宋"/>
                <w:color w:val="auto"/>
                <w:sz w:val="24"/>
                <w:szCs w:val="24"/>
                <w:highlight w:val="none"/>
                <w:lang w:val="en-US" w:eastAsia="zh-CN"/>
              </w:rPr>
              <w:t>，给履约带来很大风险</w:t>
            </w:r>
            <w:r>
              <w:rPr>
                <w:rFonts w:hint="eastAsia" w:ascii="仿宋" w:hAnsi="仿宋" w:eastAsia="仿宋" w:cs="仿宋"/>
                <w:color w:val="auto"/>
                <w:sz w:val="24"/>
                <w:szCs w:val="24"/>
                <w:lang w:val="en-US" w:eastAsia="zh-CN"/>
              </w:rPr>
              <w:t>。</w:t>
            </w:r>
          </w:p>
          <w:p>
            <w:pPr>
              <w:keepNext w:val="0"/>
              <w:keepLines w:val="0"/>
              <w:pageBreakBefore w:val="0"/>
              <w:numPr>
                <w:ilvl w:val="0"/>
                <w:numId w:val="2"/>
              </w:numPr>
              <w:kinsoku/>
              <w:wordWrap/>
              <w:overflowPunct/>
              <w:topLinePunct w:val="0"/>
              <w:autoSpaceDE/>
              <w:autoSpaceDN/>
              <w:bidi w:val="0"/>
              <w:adjustRightInd/>
              <w:spacing w:line="500" w:lineRule="exact"/>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禁止恶意低价竞争： 评标小组认为低于成本或明显低于其他通过符合性审查投标人的报价，有可能影响项目质量或不能诚信履约的，评标小组可要求其在评审现场规定时间内，提供有效书面说明文件、相关成本构成证明材料、相关承诺等。若供应商未按时提供或提供的佐证评标小组认为不能有效证明</w:t>
            </w:r>
            <w:r>
              <w:rPr>
                <w:rFonts w:hint="eastAsia" w:ascii="仿宋" w:hAnsi="仿宋" w:eastAsia="仿宋" w:cs="仿宋"/>
                <w:color w:val="auto"/>
                <w:sz w:val="24"/>
                <w:szCs w:val="24"/>
                <w:highlight w:val="none"/>
                <w:lang w:val="en-US" w:eastAsia="zh-CN"/>
              </w:rPr>
              <w:t>价格合理性</w:t>
            </w:r>
            <w:r>
              <w:rPr>
                <w:rFonts w:hint="eastAsia" w:ascii="仿宋" w:hAnsi="仿宋" w:eastAsia="仿宋" w:cs="仿宋"/>
                <w:color w:val="auto"/>
                <w:sz w:val="24"/>
                <w:szCs w:val="24"/>
                <w:lang w:val="en-US" w:eastAsia="zh-CN"/>
              </w:rPr>
              <w:t>的，评标小组可取消其候选人推荐资格。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6</w:t>
            </w:r>
          </w:p>
        </w:tc>
        <w:tc>
          <w:tcPr>
            <w:tcW w:w="1907" w:type="dxa"/>
            <w:vAlign w:val="center"/>
          </w:tcPr>
          <w:p>
            <w:pPr>
              <w:keepNext w:val="0"/>
              <w:keepLines w:val="0"/>
              <w:pageBreakBefore w:val="0"/>
              <w:kinsoku/>
              <w:wordWrap/>
              <w:overflowPunct/>
              <w:topLinePunct w:val="0"/>
              <w:autoSpaceDE/>
              <w:autoSpaceDN/>
              <w:bidi w:val="0"/>
              <w:adjustRightInd/>
              <w:snapToGrid w:val="0"/>
              <w:spacing w:line="500" w:lineRule="exact"/>
              <w:jc w:val="center"/>
              <w:textAlignment w:val="baseline"/>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rPr>
              <w:t>投标</w:t>
            </w:r>
            <w:r>
              <w:rPr>
                <w:rFonts w:hint="eastAsia" w:ascii="仿宋" w:hAnsi="仿宋" w:eastAsia="仿宋" w:cs="仿宋"/>
                <w:color w:val="auto"/>
                <w:sz w:val="24"/>
                <w:szCs w:val="24"/>
                <w:highlight w:val="none"/>
                <w:lang w:val="en-US" w:eastAsia="zh-CN"/>
              </w:rPr>
              <w:t>备选方案</w:t>
            </w:r>
          </w:p>
        </w:tc>
        <w:tc>
          <w:tcPr>
            <w:tcW w:w="6109" w:type="dxa"/>
            <w:vAlign w:val="center"/>
          </w:tcPr>
          <w:p>
            <w:pPr>
              <w:keepNext w:val="0"/>
              <w:keepLines w:val="0"/>
              <w:pageBreakBefore w:val="0"/>
              <w:kinsoku/>
              <w:wordWrap/>
              <w:overflowPunct/>
              <w:topLinePunct w:val="0"/>
              <w:autoSpaceDE/>
              <w:autoSpaceDN/>
              <w:bidi w:val="0"/>
              <w:adjustRightInd/>
              <w:snapToGrid w:val="0"/>
              <w:spacing w:line="500" w:lineRule="exact"/>
              <w:jc w:val="left"/>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7</w:t>
            </w:r>
          </w:p>
        </w:tc>
        <w:tc>
          <w:tcPr>
            <w:tcW w:w="1907"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履约保证</w:t>
            </w:r>
            <w:r>
              <w:rPr>
                <w:rFonts w:hint="eastAsia" w:ascii="仿宋" w:hAnsi="仿宋" w:eastAsia="仿宋" w:cs="仿宋"/>
                <w:color w:val="auto"/>
                <w:sz w:val="24"/>
                <w:szCs w:val="24"/>
                <w:highlight w:val="none"/>
                <w:lang w:val="en-US" w:eastAsia="zh-CN"/>
              </w:rPr>
              <w:t>金</w:t>
            </w:r>
          </w:p>
        </w:tc>
        <w:tc>
          <w:tcPr>
            <w:tcW w:w="6109" w:type="dxa"/>
            <w:vAlign w:val="center"/>
          </w:tcPr>
          <w:p>
            <w:pPr>
              <w:pStyle w:val="2"/>
              <w:keepNext w:val="0"/>
              <w:keepLines w:val="0"/>
              <w:pageBreakBefore w:val="0"/>
              <w:kinsoku/>
              <w:wordWrap/>
              <w:overflowPunct/>
              <w:topLinePunct w:val="0"/>
              <w:autoSpaceDE/>
              <w:autoSpaceDN/>
              <w:bidi w:val="0"/>
              <w:adjustRightInd/>
              <w:spacing w:line="500" w:lineRule="exact"/>
              <w:ind w:firstLine="0" w:firstLineChars="0"/>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w:t>
            </w:r>
            <w:r>
              <w:rPr>
                <w:rFonts w:hint="eastAsia" w:ascii="仿宋" w:hAnsi="仿宋" w:eastAsia="仿宋" w:cs="仿宋"/>
                <w:b w:val="0"/>
                <w:bCs w:val="0"/>
                <w:i w:val="0"/>
                <w:iCs w:val="0"/>
                <w:color w:val="auto"/>
                <w:sz w:val="24"/>
                <w:szCs w:val="24"/>
                <w:highlight w:val="none"/>
                <w:lang w:val="en-US" w:eastAsia="zh-CN"/>
              </w:rPr>
              <w:t>（合同约定除外）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8</w:t>
            </w:r>
          </w:p>
        </w:tc>
        <w:tc>
          <w:tcPr>
            <w:tcW w:w="1907" w:type="dxa"/>
            <w:vAlign w:val="center"/>
          </w:tcPr>
          <w:p>
            <w:pPr>
              <w:keepNext w:val="0"/>
              <w:keepLines w:val="0"/>
              <w:pageBreakBefore w:val="0"/>
              <w:kinsoku/>
              <w:wordWrap/>
              <w:overflowPunct/>
              <w:topLinePunct w:val="0"/>
              <w:autoSpaceDE/>
              <w:autoSpaceDN/>
              <w:bidi w:val="0"/>
              <w:adjustRightInd/>
              <w:snapToGrid w:val="0"/>
              <w:spacing w:line="500" w:lineRule="exact"/>
              <w:jc w:val="center"/>
              <w:textAlignment w:val="baseline"/>
              <w:rPr>
                <w:rFonts w:hint="eastAsia" w:ascii="仿宋" w:hAnsi="仿宋" w:eastAsia="仿宋" w:cs="仿宋"/>
                <w:b w:val="0"/>
                <w:bCs w:val="0"/>
                <w:color w:val="auto"/>
                <w:kern w:val="0"/>
                <w:sz w:val="24"/>
                <w:szCs w:val="24"/>
                <w:highlight w:val="none"/>
                <w:lang w:val="en-US" w:eastAsia="zh-CN" w:bidi="ar-SA"/>
              </w:rPr>
            </w:pPr>
            <w:r>
              <w:rPr>
                <w:rFonts w:hint="eastAsia" w:ascii="微软雅黑" w:hAnsi="微软雅黑" w:eastAsia="微软雅黑" w:cs="微软雅黑"/>
                <w:lang w:val="en-US" w:eastAsia="zh-CN"/>
              </w:rPr>
              <w:t>#</w:t>
            </w:r>
            <w:r>
              <w:rPr>
                <w:rFonts w:hint="eastAsia" w:ascii="仿宋" w:hAnsi="仿宋" w:eastAsia="仿宋" w:cs="仿宋"/>
                <w:b w:val="0"/>
                <w:bCs w:val="0"/>
                <w:color w:val="auto"/>
                <w:kern w:val="0"/>
                <w:sz w:val="24"/>
                <w:szCs w:val="24"/>
                <w:highlight w:val="none"/>
                <w:lang w:val="en-US" w:eastAsia="zh-CN" w:bidi="ar-SA"/>
              </w:rPr>
              <w:t>核心产品</w:t>
            </w:r>
          </w:p>
        </w:tc>
        <w:tc>
          <w:tcPr>
            <w:tcW w:w="6109" w:type="dxa"/>
            <w:vAlign w:val="center"/>
          </w:tcPr>
          <w:p>
            <w:pPr>
              <w:keepNext w:val="0"/>
              <w:keepLines w:val="0"/>
              <w:pageBreakBefore w:val="0"/>
              <w:kinsoku/>
              <w:wordWrap/>
              <w:overflowPunct/>
              <w:topLinePunct w:val="0"/>
              <w:autoSpaceDE/>
              <w:autoSpaceDN/>
              <w:bidi w:val="0"/>
              <w:adjustRightInd/>
              <w:snapToGrid w:val="0"/>
              <w:spacing w:line="500" w:lineRule="exact"/>
              <w:textAlignment w:val="baseline"/>
              <w:rPr>
                <w:rFonts w:hint="default" w:ascii="仿宋" w:hAnsi="仿宋" w:eastAsia="仿宋" w:cs="仿宋"/>
                <w:color w:val="auto"/>
                <w:kern w:val="0"/>
                <w:sz w:val="24"/>
                <w:highlight w:val="none"/>
                <w:lang w:val="en-US" w:eastAsia="zh-CN"/>
              </w:rPr>
            </w:pPr>
            <w:r>
              <w:rPr>
                <w:rFonts w:hint="eastAsia" w:ascii="仿宋" w:hAnsi="仿宋" w:eastAsia="仿宋" w:cs="仿宋"/>
                <w:color w:val="auto"/>
                <w:kern w:val="0"/>
                <w:sz w:val="24"/>
                <w:highlight w:val="none"/>
                <w:lang w:val="en-US" w:eastAsia="zh-CN"/>
              </w:rPr>
              <w:t>01标段：</w:t>
            </w:r>
            <w:bookmarkStart w:id="0" w:name="_GoBack"/>
            <w:bookmarkEnd w:id="0"/>
            <w:r>
              <w:rPr>
                <w:rFonts w:hint="eastAsia" w:ascii="仿宋" w:hAnsi="仿宋" w:eastAsia="仿宋" w:cs="仿宋"/>
                <w:color w:val="auto"/>
                <w:kern w:val="0"/>
                <w:sz w:val="24"/>
                <w:highlight w:val="none"/>
                <w:lang w:val="en-US" w:eastAsia="zh-CN"/>
              </w:rPr>
              <w:t>毛巾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9</w:t>
            </w:r>
          </w:p>
        </w:tc>
        <w:tc>
          <w:tcPr>
            <w:tcW w:w="1907" w:type="dxa"/>
            <w:vAlign w:val="center"/>
          </w:tcPr>
          <w:p>
            <w:pPr>
              <w:pStyle w:val="5"/>
              <w:keepNext w:val="0"/>
              <w:keepLines w:val="0"/>
              <w:pageBreakBefore w:val="0"/>
              <w:kinsoku/>
              <w:wordWrap/>
              <w:overflowPunct/>
              <w:topLinePunct w:val="0"/>
              <w:autoSpaceDE/>
              <w:autoSpaceDN/>
              <w:bidi w:val="0"/>
              <w:adjustRightInd/>
              <w:spacing w:before="0" w:beforeAutospacing="0" w:afterAutospacing="0" w:line="500" w:lineRule="exact"/>
              <w:jc w:val="center"/>
              <w:textAlignment w:val="auto"/>
              <w:rPr>
                <w:rFonts w:hint="eastAsia" w:ascii="仿宋" w:hAnsi="仿宋" w:eastAsia="仿宋" w:cs="仿宋"/>
                <w:strike/>
                <w:dstrike w:val="0"/>
                <w:color w:val="auto"/>
                <w:kern w:val="2"/>
                <w:sz w:val="24"/>
                <w:szCs w:val="24"/>
                <w:highlight w:val="none"/>
                <w:lang w:val="en-US" w:eastAsia="zh-CN" w:bidi="ar-SA"/>
              </w:rPr>
            </w:pPr>
            <w:r>
              <w:rPr>
                <w:rFonts w:hint="eastAsia" w:ascii="仿宋" w:hAnsi="仿宋" w:eastAsia="仿宋" w:cs="仿宋"/>
                <w:strike w:val="0"/>
                <w:dstrike w:val="0"/>
                <w:color w:val="auto"/>
                <w:szCs w:val="24"/>
                <w:highlight w:val="none"/>
                <w:lang w:val="en-US" w:eastAsia="zh-CN"/>
              </w:rPr>
              <w:t>产品包装</w:t>
            </w:r>
          </w:p>
        </w:tc>
        <w:tc>
          <w:tcPr>
            <w:tcW w:w="6109"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textAlignment w:val="auto"/>
              <w:rPr>
                <w:rFonts w:hint="eastAsia" w:ascii="仿宋" w:hAnsi="仿宋" w:eastAsia="仿宋" w:cs="仿宋"/>
                <w:strike/>
                <w:dstrike w:val="0"/>
                <w:color w:val="auto"/>
                <w:kern w:val="2"/>
                <w:sz w:val="24"/>
                <w:szCs w:val="24"/>
                <w:highlight w:val="green"/>
                <w:lang w:val="en-US" w:eastAsia="zh-CN" w:bidi="ar-SA"/>
              </w:rPr>
            </w:pPr>
            <w:r>
              <w:rPr>
                <w:rFonts w:hint="eastAsia" w:ascii="仿宋" w:hAnsi="仿宋" w:eastAsia="仿宋" w:cs="仿宋"/>
                <w:color w:val="auto"/>
                <w:sz w:val="24"/>
                <w:szCs w:val="24"/>
                <w:highlight w:val="none"/>
                <w:lang w:val="en-US" w:eastAsia="zh-CN"/>
              </w:rPr>
              <w:t>符合财办库〔2020〕123号文《商品包装政府采购需求标准（试行）》、《快递包装政府采购需求标准（试行）》的要求。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10</w:t>
            </w:r>
          </w:p>
        </w:tc>
        <w:tc>
          <w:tcPr>
            <w:tcW w:w="1907" w:type="dxa"/>
            <w:vAlign w:val="center"/>
          </w:tcPr>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beforeAutospacing="0" w:afterAutospacing="0" w:line="500" w:lineRule="exact"/>
              <w:ind w:left="0" w:leftChars="0" w:firstLine="0" w:firstLineChars="0"/>
              <w:jc w:val="center"/>
              <w:rPr>
                <w:rFonts w:hint="default" w:ascii="仿宋" w:hAnsi="仿宋" w:eastAsia="仿宋" w:cs="仿宋"/>
                <w:b w:val="0"/>
                <w:bCs w:val="0"/>
                <w:color w:val="auto"/>
                <w:kern w:val="0"/>
                <w:sz w:val="24"/>
                <w:szCs w:val="24"/>
                <w:highlight w:val="none"/>
                <w:lang w:val="en-US" w:eastAsia="zh-CN" w:bidi="ar-SA"/>
              </w:rPr>
            </w:pPr>
            <w:r>
              <w:rPr>
                <w:rFonts w:hint="eastAsia" w:ascii="仿宋" w:hAnsi="仿宋" w:eastAsia="仿宋" w:cs="仿宋"/>
                <w:b w:val="0"/>
                <w:bCs w:val="0"/>
                <w:color w:val="auto"/>
                <w:kern w:val="0"/>
                <w:sz w:val="24"/>
                <w:szCs w:val="24"/>
                <w:highlight w:val="none"/>
                <w:lang w:val="en-US" w:eastAsia="zh-CN" w:bidi="ar-SA"/>
              </w:rPr>
              <w:t>进口产品</w:t>
            </w:r>
          </w:p>
        </w:tc>
        <w:tc>
          <w:tcPr>
            <w:tcW w:w="6109" w:type="dxa"/>
            <w:vAlign w:val="center"/>
          </w:tcPr>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beforeAutospacing="0" w:afterAutospacing="0" w:line="500" w:lineRule="exact"/>
              <w:ind w:left="0" w:leftChars="0" w:firstLine="0" w:firstLineChars="0"/>
              <w:rPr>
                <w:rFonts w:hint="default" w:ascii="仿宋" w:hAnsi="仿宋" w:eastAsia="仿宋" w:cs="仿宋"/>
                <w:b/>
                <w:bCs/>
                <w:color w:val="auto"/>
                <w:kern w:val="0"/>
                <w:sz w:val="24"/>
                <w:szCs w:val="24"/>
                <w:highlight w:val="none"/>
                <w:lang w:val="en-US" w:eastAsia="zh-CN" w:bidi="ar-SA"/>
              </w:rPr>
            </w:pPr>
            <w:r>
              <w:rPr>
                <w:rFonts w:hint="eastAsia" w:ascii="仿宋" w:hAnsi="仿宋" w:eastAsia="仿宋" w:cs="仿宋"/>
                <w:b/>
                <w:bCs/>
                <w:color w:val="auto"/>
                <w:kern w:val="0"/>
                <w:sz w:val="24"/>
                <w:szCs w:val="24"/>
                <w:highlight w:val="none"/>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11</w:t>
            </w:r>
          </w:p>
        </w:tc>
        <w:tc>
          <w:tcPr>
            <w:tcW w:w="1907" w:type="dxa"/>
            <w:vAlign w:val="center"/>
          </w:tcPr>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beforeAutospacing="0" w:afterAutospacing="0" w:line="500" w:lineRule="exact"/>
              <w:ind w:left="0" w:leftChars="0" w:firstLine="0" w:firstLineChars="0"/>
              <w:jc w:val="center"/>
              <w:rPr>
                <w:rFonts w:hint="eastAsia" w:ascii="仿宋" w:hAnsi="仿宋" w:eastAsia="仿宋" w:cs="仿宋"/>
                <w:b w:val="0"/>
                <w:bCs w:val="0"/>
                <w:color w:val="auto"/>
                <w:kern w:val="2"/>
                <w:sz w:val="24"/>
                <w:szCs w:val="24"/>
                <w:lang w:val="en-US" w:eastAsia="zh-CN" w:bidi="ar-SA"/>
              </w:rPr>
            </w:pPr>
            <w:r>
              <w:rPr>
                <w:rFonts w:hint="eastAsia" w:ascii="仿宋" w:hAnsi="仿宋" w:eastAsia="仿宋" w:cs="仿宋"/>
                <w:b w:val="0"/>
                <w:bCs w:val="0"/>
                <w:color w:val="auto"/>
                <w:kern w:val="0"/>
                <w:sz w:val="24"/>
                <w:szCs w:val="24"/>
                <w:lang w:val="en-US" w:eastAsia="zh-CN" w:bidi="ar-SA"/>
              </w:rPr>
              <w:t>实质性条款</w:t>
            </w:r>
          </w:p>
        </w:tc>
        <w:tc>
          <w:tcPr>
            <w:tcW w:w="6109" w:type="dxa"/>
            <w:vAlign w:val="center"/>
          </w:tcPr>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beforeAutospacing="0" w:afterAutospacing="0" w:line="500" w:lineRule="exact"/>
              <w:ind w:left="0" w:leftChars="0" w:firstLine="0" w:firstLineChars="0"/>
              <w:rPr>
                <w:rFonts w:hint="eastAsia" w:ascii="仿宋" w:hAnsi="仿宋" w:eastAsia="仿宋" w:cs="仿宋"/>
                <w:b w:val="0"/>
                <w:bCs w:val="0"/>
                <w:color w:val="auto"/>
                <w:kern w:val="2"/>
                <w:sz w:val="24"/>
                <w:szCs w:val="24"/>
                <w:lang w:val="en-US" w:eastAsia="zh-CN" w:bidi="ar-SA"/>
              </w:rPr>
            </w:pPr>
            <w:r>
              <w:rPr>
                <w:rFonts w:hint="eastAsia" w:ascii="仿宋" w:hAnsi="仿宋" w:eastAsia="仿宋" w:cs="仿宋"/>
                <w:b w:val="0"/>
                <w:bCs w:val="0"/>
                <w:color w:val="auto"/>
                <w:kern w:val="0"/>
                <w:sz w:val="24"/>
                <w:szCs w:val="24"/>
                <w:lang w:val="en-US" w:eastAsia="zh-CN" w:bidi="ar-SA"/>
              </w:rPr>
              <w:t>1.供应商资格要求；2.符合性要求；</w:t>
            </w:r>
            <w:r>
              <w:rPr>
                <w:rFonts w:hint="eastAsia" w:ascii="仿宋" w:hAnsi="仿宋" w:eastAsia="仿宋" w:cs="仿宋"/>
                <w:b w:val="0"/>
                <w:bCs w:val="0"/>
                <w:color w:val="auto"/>
                <w:sz w:val="24"/>
                <w:szCs w:val="24"/>
                <w:highlight w:val="none"/>
                <w:lang w:val="en-US" w:eastAsia="zh-CN"/>
              </w:rPr>
              <w:t>3.法律法规和招标文件规定的其他实质性要求。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12</w:t>
            </w:r>
          </w:p>
        </w:tc>
        <w:tc>
          <w:tcPr>
            <w:tcW w:w="1907" w:type="dxa"/>
            <w:vAlign w:val="center"/>
          </w:tcPr>
          <w:p>
            <w:pPr>
              <w:keepNext w:val="0"/>
              <w:keepLines w:val="0"/>
              <w:pageBreakBefore w:val="0"/>
              <w:kinsoku/>
              <w:wordWrap/>
              <w:overflowPunct/>
              <w:topLinePunct w:val="0"/>
              <w:autoSpaceDE/>
              <w:autoSpaceDN/>
              <w:bidi w:val="0"/>
              <w:adjustRightInd/>
              <w:spacing w:line="500" w:lineRule="exact"/>
              <w:jc w:val="center"/>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highlight w:val="none"/>
                <w:lang w:val="en-US" w:eastAsia="zh-CN"/>
              </w:rPr>
              <w:t>招标</w:t>
            </w:r>
            <w:r>
              <w:rPr>
                <w:rFonts w:hint="eastAsia" w:ascii="仿宋" w:hAnsi="仿宋" w:eastAsia="仿宋" w:cs="仿宋"/>
                <w:color w:val="auto"/>
                <w:sz w:val="24"/>
                <w:szCs w:val="24"/>
                <w:lang w:val="en-US" w:eastAsia="zh-CN"/>
              </w:rPr>
              <w:t>文件说明</w:t>
            </w:r>
          </w:p>
        </w:tc>
        <w:tc>
          <w:tcPr>
            <w:tcW w:w="6109" w:type="dxa"/>
            <w:vAlign w:val="center"/>
          </w:tcPr>
          <w:p>
            <w:pPr>
              <w:keepNext w:val="0"/>
              <w:keepLines w:val="0"/>
              <w:pageBreakBefore w:val="0"/>
              <w:kinsoku/>
              <w:wordWrap/>
              <w:overflowPunct/>
              <w:topLinePunct w:val="0"/>
              <w:autoSpaceDE/>
              <w:autoSpaceDN/>
              <w:bidi w:val="0"/>
              <w:adjustRightInd/>
              <w:spacing w:line="500" w:lineRule="exact"/>
              <w:jc w:val="left"/>
              <w:textAlignment w:val="baseline"/>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若</w:t>
            </w:r>
            <w:r>
              <w:rPr>
                <w:rFonts w:hint="eastAsia" w:ascii="仿宋" w:hAnsi="仿宋" w:eastAsia="仿宋" w:cs="仿宋"/>
                <w:color w:val="auto"/>
                <w:sz w:val="24"/>
                <w:szCs w:val="24"/>
                <w:highlight w:val="none"/>
                <w:lang w:val="en-US" w:eastAsia="zh-CN"/>
              </w:rPr>
              <w:t>招标</w:t>
            </w:r>
            <w:r>
              <w:rPr>
                <w:rFonts w:hint="eastAsia" w:ascii="仿宋" w:hAnsi="仿宋" w:eastAsia="仿宋" w:cs="仿宋"/>
                <w:color w:val="auto"/>
                <w:sz w:val="24"/>
                <w:szCs w:val="24"/>
                <w:lang w:val="en-US" w:eastAsia="zh-CN"/>
              </w:rPr>
              <w:t>文件前后内容不一致或有瑕疵时，在不影响评审结果或评审公正公平进行的情况下，由代理机构澄清确认后继续评审。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13</w:t>
            </w:r>
          </w:p>
        </w:tc>
        <w:tc>
          <w:tcPr>
            <w:tcW w:w="1907"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rPr>
              <w:t>数字计算</w:t>
            </w:r>
          </w:p>
        </w:tc>
        <w:tc>
          <w:tcPr>
            <w:tcW w:w="6109" w:type="dxa"/>
            <w:vAlign w:val="center"/>
          </w:tcPr>
          <w:p>
            <w:pPr>
              <w:keepNext w:val="0"/>
              <w:keepLines w:val="0"/>
              <w:pageBreakBefore w:val="0"/>
              <w:kinsoku/>
              <w:wordWrap/>
              <w:overflowPunct/>
              <w:topLinePunct w:val="0"/>
              <w:autoSpaceDE/>
              <w:autoSpaceDN/>
              <w:bidi w:val="0"/>
              <w:adjustRightInd/>
              <w:spacing w:line="500" w:lineRule="exact"/>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四舍五入，保留小数点后两位</w:t>
            </w: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（特殊情况除外）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default"/>
                <w:lang w:val="en-US" w:eastAsia="zh-CN"/>
              </w:rPr>
            </w:pPr>
            <w:r>
              <w:rPr>
                <w:rFonts w:hint="eastAsia" w:ascii="仿宋" w:hAnsi="仿宋" w:eastAsia="仿宋" w:cs="仿宋"/>
                <w:color w:val="auto"/>
                <w:sz w:val="24"/>
                <w:szCs w:val="24"/>
                <w:lang w:val="en-US" w:eastAsia="zh-CN"/>
              </w:rPr>
              <w:t>14</w:t>
            </w:r>
          </w:p>
        </w:tc>
        <w:tc>
          <w:tcPr>
            <w:tcW w:w="1907" w:type="dxa"/>
            <w:tcBorders>
              <w:right w:val="nil"/>
            </w:tcBorders>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0"/>
                <w:sz w:val="24"/>
                <w:szCs w:val="24"/>
                <w:lang w:eastAsia="zh-CN"/>
              </w:rPr>
              <w:t>中小企业</w:t>
            </w:r>
          </w:p>
        </w:tc>
        <w:tc>
          <w:tcPr>
            <w:tcW w:w="6109" w:type="dxa"/>
            <w:tcBorders>
              <w:left w:val="nil"/>
            </w:tcBorders>
            <w:vAlign w:val="center"/>
          </w:tcPr>
          <w:p>
            <w:pPr>
              <w:keepNext w:val="0"/>
              <w:keepLines w:val="0"/>
              <w:pageBreakBefore w:val="0"/>
              <w:tabs>
                <w:tab w:val="left" w:pos="7013"/>
              </w:tabs>
              <w:kinsoku/>
              <w:wordWrap/>
              <w:overflowPunct/>
              <w:topLinePunct w:val="0"/>
              <w:autoSpaceDE/>
              <w:autoSpaceDN/>
              <w:bidi w:val="0"/>
              <w:adjustRightInd/>
              <w:spacing w:line="500" w:lineRule="exact"/>
              <w:rPr>
                <w:rFonts w:hint="eastAsia" w:ascii="仿宋" w:hAnsi="仿宋" w:eastAsia="仿宋" w:cs="仿宋"/>
                <w:color w:val="auto"/>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14.1</w:t>
            </w:r>
          </w:p>
        </w:tc>
        <w:tc>
          <w:tcPr>
            <w:tcW w:w="1907" w:type="dxa"/>
            <w:shd w:val="clear" w:color="auto" w:fill="auto"/>
            <w:vAlign w:val="center"/>
          </w:tcPr>
          <w:p>
            <w:pPr>
              <w:pStyle w:val="5"/>
              <w:keepNext w:val="0"/>
              <w:keepLines w:val="0"/>
              <w:pageBreakBefore w:val="0"/>
              <w:kinsoku/>
              <w:wordWrap/>
              <w:overflowPunct/>
              <w:topLinePunct w:val="0"/>
              <w:autoSpaceDE/>
              <w:autoSpaceDN/>
              <w:bidi w:val="0"/>
              <w:adjustRightInd/>
              <w:spacing w:before="0" w:beforeAutospacing="0" w:afterAutospacing="0" w:line="500" w:lineRule="exact"/>
              <w:ind w:left="0"/>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是否</w:t>
            </w:r>
            <w:r>
              <w:rPr>
                <w:rFonts w:hint="eastAsia" w:ascii="仿宋" w:hAnsi="仿宋" w:eastAsia="仿宋" w:cs="仿宋"/>
                <w:color w:val="auto"/>
                <w:kern w:val="0"/>
                <w:sz w:val="24"/>
                <w:szCs w:val="24"/>
                <w:highlight w:val="none"/>
              </w:rPr>
              <w:t>专门面向</w:t>
            </w:r>
          </w:p>
          <w:p>
            <w:pPr>
              <w:pStyle w:val="5"/>
              <w:keepNext w:val="0"/>
              <w:keepLines w:val="0"/>
              <w:pageBreakBefore w:val="0"/>
              <w:kinsoku/>
              <w:wordWrap/>
              <w:overflowPunct/>
              <w:topLinePunct w:val="0"/>
              <w:autoSpaceDE/>
              <w:autoSpaceDN/>
              <w:bidi w:val="0"/>
              <w:adjustRightInd/>
              <w:spacing w:before="0" w:beforeAutospacing="0" w:afterAutospacing="0" w:line="500" w:lineRule="exact"/>
              <w:ind w:left="0" w:leftChars="0"/>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0"/>
                <w:sz w:val="24"/>
                <w:szCs w:val="24"/>
                <w:highlight w:val="none"/>
              </w:rPr>
              <w:t>中小企业</w:t>
            </w:r>
          </w:p>
        </w:tc>
        <w:tc>
          <w:tcPr>
            <w:tcW w:w="6109" w:type="dxa"/>
            <w:shd w:val="clear" w:color="auto" w:fill="auto"/>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14.2</w:t>
            </w:r>
          </w:p>
        </w:tc>
        <w:tc>
          <w:tcPr>
            <w:tcW w:w="1907" w:type="dxa"/>
            <w:vAlign w:val="center"/>
          </w:tcPr>
          <w:p>
            <w:pPr>
              <w:keepNext w:val="0"/>
              <w:keepLines w:val="0"/>
              <w:pageBreakBefore w:val="0"/>
              <w:tabs>
                <w:tab w:val="left" w:pos="0"/>
              </w:tabs>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0"/>
                <w:sz w:val="24"/>
                <w:szCs w:val="24"/>
                <w:highlight w:val="none"/>
                <w:lang w:eastAsia="zh-CN"/>
              </w:rPr>
              <w:t>中小企业</w:t>
            </w:r>
          </w:p>
        </w:tc>
        <w:tc>
          <w:tcPr>
            <w:tcW w:w="6109"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highlight w:val="none"/>
                <w:lang w:val="en-US" w:eastAsia="zh-CN"/>
              </w:rPr>
              <w:t>中小企业判定依据：《中小企业划型标准规定》</w:t>
            </w:r>
            <w:r>
              <w:rPr>
                <w:rFonts w:hint="eastAsia" w:ascii="仿宋" w:hAnsi="仿宋" w:eastAsia="仿宋" w:cs="仿宋"/>
                <w:color w:val="auto"/>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500" w:lineRule="exact"/>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2.中小企业，是指在中华人民共和国境内依法设立，依据国务院批准的中小企业划分标准确定的中型企业、小型企业和微型企业，但与大企业的负责人为同一人，或者与大企业存在直接控股、管理关系的除外。</w:t>
            </w:r>
          </w:p>
          <w:p>
            <w:pPr>
              <w:keepNext w:val="0"/>
              <w:keepLines w:val="0"/>
              <w:pageBreakBefore w:val="0"/>
              <w:widowControl w:val="0"/>
              <w:kinsoku/>
              <w:wordWrap/>
              <w:overflowPunct/>
              <w:topLinePunct w:val="0"/>
              <w:autoSpaceDE/>
              <w:autoSpaceDN/>
              <w:bidi w:val="0"/>
              <w:adjustRightInd/>
              <w:snapToGrid/>
              <w:spacing w:beforeAutospacing="0" w:afterAutospacing="0" w:line="500" w:lineRule="exact"/>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3.符合中小企业划分标准的个体工商户，在政府采购活动中视同中小企业。符合条件的监狱企业、残疾人福利性单位视同小微企业，在参加政府采购活动时享受扶持政策。</w:t>
            </w:r>
          </w:p>
          <w:p>
            <w:pPr>
              <w:keepNext w:val="0"/>
              <w:keepLines w:val="0"/>
              <w:pageBreakBefore w:val="0"/>
              <w:widowControl w:val="0"/>
              <w:kinsoku/>
              <w:wordWrap/>
              <w:overflowPunct/>
              <w:topLinePunct w:val="0"/>
              <w:autoSpaceDE/>
              <w:autoSpaceDN/>
              <w:bidi w:val="0"/>
              <w:adjustRightInd/>
              <w:snapToGrid/>
              <w:spacing w:beforeAutospacing="0" w:afterAutospacing="0" w:line="500" w:lineRule="exact"/>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4.供应商提供《</w:t>
            </w:r>
            <w:r>
              <w:rPr>
                <w:rFonts w:hint="eastAsia" w:ascii="仿宋" w:hAnsi="仿宋" w:eastAsia="仿宋" w:cs="仿宋"/>
                <w:color w:val="auto"/>
                <w:kern w:val="0"/>
                <w:sz w:val="24"/>
                <w:highlight w:val="none"/>
                <w:lang w:val="en-US" w:eastAsia="zh-CN"/>
              </w:rPr>
              <w:t>中</w:t>
            </w:r>
            <w:r>
              <w:rPr>
                <w:rFonts w:hint="eastAsia" w:ascii="仿宋" w:hAnsi="仿宋" w:eastAsia="仿宋" w:cs="仿宋"/>
                <w:color w:val="auto"/>
                <w:kern w:val="0"/>
                <w:sz w:val="24"/>
                <w:highlight w:val="none"/>
              </w:rPr>
              <w:t>小企业</w:t>
            </w:r>
            <w:r>
              <w:rPr>
                <w:rFonts w:hint="eastAsia" w:ascii="仿宋" w:hAnsi="仿宋" w:eastAsia="仿宋" w:cs="仿宋"/>
                <w:color w:val="auto"/>
                <w:kern w:val="0"/>
                <w:sz w:val="24"/>
              </w:rPr>
              <w:t>声明函</w:t>
            </w:r>
            <w:r>
              <w:rPr>
                <w:rFonts w:hint="eastAsia" w:ascii="仿宋" w:hAnsi="仿宋" w:eastAsia="仿宋" w:cs="仿宋"/>
                <w:color w:val="auto"/>
                <w:sz w:val="24"/>
                <w:szCs w:val="24"/>
                <w:lang w:val="en-US" w:eastAsia="zh-CN"/>
              </w:rPr>
              <w:t>》（或《残疾人福利性单位声明函》、《监狱或戒毒企业声明函》），并对声明的真实性、准确性</w:t>
            </w:r>
            <w:r>
              <w:rPr>
                <w:rFonts w:hint="eastAsia" w:ascii="仿宋" w:hAnsi="仿宋" w:eastAsia="仿宋" w:cs="仿宋"/>
                <w:color w:val="auto"/>
                <w:kern w:val="0"/>
                <w:sz w:val="24"/>
                <w:lang w:val="en-US" w:eastAsia="zh-CN"/>
              </w:rPr>
              <w:t>、有效性</w:t>
            </w:r>
            <w:r>
              <w:rPr>
                <w:rFonts w:hint="eastAsia" w:ascii="仿宋" w:hAnsi="仿宋" w:eastAsia="仿宋" w:cs="仿宋"/>
                <w:color w:val="auto"/>
                <w:kern w:val="0"/>
                <w:sz w:val="24"/>
              </w:rPr>
              <w:t>负责</w:t>
            </w:r>
            <w:r>
              <w:rPr>
                <w:rFonts w:hint="eastAsia" w:ascii="仿宋" w:hAnsi="仿宋" w:eastAsia="仿宋" w:cs="仿宋"/>
                <w:color w:val="auto"/>
                <w:kern w:val="0"/>
                <w:sz w:val="24"/>
                <w:lang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500" w:lineRule="exact"/>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5.中标人提供的《</w:t>
            </w:r>
            <w:r>
              <w:rPr>
                <w:rFonts w:hint="eastAsia" w:ascii="仿宋" w:hAnsi="仿宋" w:eastAsia="仿宋" w:cs="仿宋"/>
                <w:color w:val="auto"/>
                <w:kern w:val="0"/>
                <w:sz w:val="24"/>
                <w:highlight w:val="none"/>
                <w:lang w:val="en-US" w:eastAsia="zh-CN"/>
              </w:rPr>
              <w:t>中</w:t>
            </w:r>
            <w:r>
              <w:rPr>
                <w:rFonts w:hint="eastAsia" w:ascii="仿宋" w:hAnsi="仿宋" w:eastAsia="仿宋" w:cs="仿宋"/>
                <w:color w:val="auto"/>
                <w:kern w:val="0"/>
                <w:sz w:val="24"/>
                <w:highlight w:val="none"/>
              </w:rPr>
              <w:t>小企业</w:t>
            </w:r>
            <w:r>
              <w:rPr>
                <w:rFonts w:hint="eastAsia" w:ascii="仿宋" w:hAnsi="仿宋" w:eastAsia="仿宋" w:cs="仿宋"/>
                <w:color w:val="auto"/>
                <w:kern w:val="0"/>
                <w:sz w:val="24"/>
              </w:rPr>
              <w:t>声明函</w:t>
            </w:r>
            <w:r>
              <w:rPr>
                <w:rFonts w:hint="eastAsia" w:ascii="仿宋" w:hAnsi="仿宋" w:eastAsia="仿宋" w:cs="仿宋"/>
                <w:color w:val="auto"/>
                <w:sz w:val="24"/>
                <w:szCs w:val="24"/>
                <w:lang w:val="en-US" w:eastAsia="zh-CN"/>
              </w:rPr>
              <w:t>》、《残疾人福利性单位声明函》、《监狱或戒毒企业声明函》随同中标结果公示，接受社会监督，若有不实，将承担经济和法律后果。</w:t>
            </w:r>
          </w:p>
          <w:p>
            <w:pPr>
              <w:keepNext w:val="0"/>
              <w:keepLines w:val="0"/>
              <w:pageBreakBefore w:val="0"/>
              <w:tabs>
                <w:tab w:val="left" w:pos="0"/>
              </w:tabs>
              <w:kinsoku/>
              <w:wordWrap/>
              <w:overflowPunct/>
              <w:topLinePunct w:val="0"/>
              <w:autoSpaceDE/>
              <w:autoSpaceDN/>
              <w:bidi w:val="0"/>
              <w:adjustRightInd/>
              <w:spacing w:line="500" w:lineRule="exact"/>
              <w:rPr>
                <w:rFonts w:hint="eastAsia" w:ascii="仿宋" w:hAnsi="仿宋" w:eastAsia="仿宋" w:cs="仿宋"/>
                <w:color w:val="auto"/>
                <w:sz w:val="24"/>
                <w:szCs w:val="24"/>
                <w:highlight w:val="none"/>
                <w:lang w:val="en-US" w:eastAsia="zh-CN"/>
              </w:rPr>
            </w:pPr>
            <w:r>
              <w:rPr>
                <w:rFonts w:hint="eastAsia" w:ascii="仿宋" w:hAnsi="仿宋" w:eastAsia="仿宋" w:cs="仿宋"/>
                <w:b w:val="0"/>
                <w:bCs w:val="0"/>
                <w:color w:val="auto"/>
                <w:sz w:val="24"/>
                <w:szCs w:val="24"/>
                <w:lang w:val="en-US" w:eastAsia="zh-CN"/>
              </w:rPr>
              <w:t>6.</w:t>
            </w:r>
            <w:r>
              <w:rPr>
                <w:rFonts w:hint="eastAsia" w:ascii="仿宋" w:hAnsi="仿宋" w:eastAsia="仿宋" w:cs="仿宋"/>
                <w:color w:val="auto"/>
                <w:sz w:val="24"/>
                <w:szCs w:val="24"/>
                <w:highlight w:val="none"/>
                <w:lang w:val="en-US" w:eastAsia="zh-CN"/>
              </w:rPr>
              <w:t>享受扶持政策获得政府采购合同的，小微企业不得将合同分包给大中型企业，中型企业不得将合同分包给大型企业。</w:t>
            </w:r>
          </w:p>
          <w:p>
            <w:pPr>
              <w:keepNext w:val="0"/>
              <w:keepLines w:val="0"/>
              <w:pageBreakBefore w:val="0"/>
              <w:tabs>
                <w:tab w:val="left" w:pos="0"/>
              </w:tabs>
              <w:kinsoku/>
              <w:wordWrap/>
              <w:overflowPunct/>
              <w:topLinePunct w:val="0"/>
              <w:autoSpaceDE/>
              <w:autoSpaceDN/>
              <w:bidi w:val="0"/>
              <w:adjustRightInd/>
              <w:spacing w:line="500" w:lineRule="exact"/>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highlight w:val="none"/>
                <w:lang w:val="en-US" w:eastAsia="zh-CN"/>
              </w:rPr>
              <w:t>7.发生纠纷时，</w:t>
            </w:r>
            <w:r>
              <w:rPr>
                <w:rFonts w:hint="eastAsia" w:ascii="仿宋" w:hAnsi="仿宋" w:eastAsia="仿宋" w:cs="仿宋"/>
                <w:color w:val="auto"/>
                <w:sz w:val="24"/>
                <w:szCs w:val="24"/>
                <w:highlight w:val="none"/>
              </w:rPr>
              <w:t>对中小企业的</w:t>
            </w:r>
            <w:r>
              <w:rPr>
                <w:rFonts w:hint="eastAsia" w:ascii="仿宋" w:hAnsi="仿宋" w:eastAsia="仿宋" w:cs="仿宋"/>
                <w:color w:val="auto"/>
                <w:sz w:val="24"/>
                <w:szCs w:val="24"/>
                <w:highlight w:val="none"/>
                <w:lang w:val="en-US" w:eastAsia="zh-CN"/>
              </w:rPr>
              <w:t>最终</w:t>
            </w:r>
            <w:r>
              <w:rPr>
                <w:rFonts w:hint="eastAsia" w:ascii="仿宋" w:hAnsi="仿宋" w:eastAsia="仿宋" w:cs="仿宋"/>
                <w:color w:val="auto"/>
                <w:sz w:val="24"/>
                <w:szCs w:val="24"/>
                <w:highlight w:val="none"/>
              </w:rPr>
              <w:t>认定，由</w:t>
            </w:r>
            <w:r>
              <w:rPr>
                <w:rFonts w:hint="eastAsia" w:ascii="仿宋" w:hAnsi="仿宋" w:eastAsia="仿宋" w:cs="仿宋"/>
                <w:color w:val="auto"/>
                <w:sz w:val="24"/>
                <w:szCs w:val="24"/>
                <w:highlight w:val="none"/>
                <w:lang w:val="en-US" w:eastAsia="zh-CN"/>
              </w:rPr>
              <w:t>投标企业</w:t>
            </w:r>
            <w:r>
              <w:rPr>
                <w:rFonts w:hint="eastAsia" w:ascii="仿宋" w:hAnsi="仿宋" w:eastAsia="仿宋" w:cs="仿宋"/>
                <w:color w:val="auto"/>
                <w:sz w:val="24"/>
                <w:szCs w:val="24"/>
                <w:highlight w:val="none"/>
              </w:rPr>
              <w:t>注册登记所在地的县级以上人民政府中小企业主管部门负责。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14.3</w:t>
            </w:r>
          </w:p>
        </w:tc>
        <w:tc>
          <w:tcPr>
            <w:tcW w:w="1907" w:type="dxa"/>
            <w:vAlign w:val="center"/>
          </w:tcPr>
          <w:p>
            <w:pPr>
              <w:pStyle w:val="5"/>
              <w:keepNext w:val="0"/>
              <w:keepLines w:val="0"/>
              <w:pageBreakBefore w:val="0"/>
              <w:widowControl w:val="0"/>
              <w:kinsoku/>
              <w:wordWrap/>
              <w:overflowPunct/>
              <w:topLinePunct w:val="0"/>
              <w:autoSpaceDE/>
              <w:autoSpaceDN/>
              <w:bidi w:val="0"/>
              <w:adjustRightInd/>
              <w:snapToGrid/>
              <w:spacing w:before="0" w:beforeAutospacing="0" w:afterAutospacing="0" w:line="500" w:lineRule="exact"/>
              <w:ind w:left="0" w:leftChars="0"/>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中小企业</w:t>
            </w:r>
          </w:p>
          <w:p>
            <w:pPr>
              <w:pStyle w:val="5"/>
              <w:keepNext w:val="0"/>
              <w:keepLines w:val="0"/>
              <w:pageBreakBefore w:val="0"/>
              <w:widowControl w:val="0"/>
              <w:kinsoku/>
              <w:wordWrap/>
              <w:overflowPunct/>
              <w:topLinePunct w:val="0"/>
              <w:autoSpaceDE/>
              <w:autoSpaceDN/>
              <w:bidi w:val="0"/>
              <w:adjustRightInd/>
              <w:snapToGrid/>
              <w:spacing w:before="0" w:beforeAutospacing="0" w:afterAutospacing="0" w:line="500" w:lineRule="exact"/>
              <w:ind w:left="0" w:leftChars="0"/>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划型标准</w:t>
            </w:r>
          </w:p>
        </w:tc>
        <w:tc>
          <w:tcPr>
            <w:tcW w:w="6109" w:type="dxa"/>
            <w:vAlign w:val="center"/>
          </w:tcPr>
          <w:p>
            <w:pPr>
              <w:pStyle w:val="5"/>
              <w:keepNext w:val="0"/>
              <w:keepLines w:val="0"/>
              <w:pageBreakBefore w:val="0"/>
              <w:widowControl w:val="0"/>
              <w:kinsoku/>
              <w:wordWrap/>
              <w:overflowPunct/>
              <w:topLinePunct w:val="0"/>
              <w:autoSpaceDE/>
              <w:autoSpaceDN/>
              <w:bidi w:val="0"/>
              <w:adjustRightInd/>
              <w:snapToGrid/>
              <w:spacing w:before="0" w:beforeAutospacing="0" w:afterAutospacing="0" w:line="500" w:lineRule="exact"/>
              <w:ind w:left="0" w:leftChars="0"/>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1.本项目所属行业：工业</w:t>
            </w:r>
          </w:p>
          <w:p>
            <w:pPr>
              <w:pStyle w:val="7"/>
              <w:keepNext w:val="0"/>
              <w:keepLines w:val="0"/>
              <w:pageBreakBefore w:val="0"/>
              <w:kinsoku/>
              <w:wordWrap/>
              <w:overflowPunct/>
              <w:topLinePunct w:val="0"/>
              <w:autoSpaceDE/>
              <w:autoSpaceDN/>
              <w:bidi w:val="0"/>
              <w:adjustRightInd/>
              <w:snapToGrid/>
              <w:spacing w:beforeAutospacing="0" w:afterAutospacing="0" w:line="500" w:lineRule="exact"/>
              <w:ind w:left="0" w:leftChars="0" w:firstLine="0" w:firstLineChars="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2.划型标准：①从业人员≥1000人，营业收入≥40000万元，为大型企业；②300人≤从业人员＜1000人，且2000万元≤营业收入＜40000万元，为中型企业；③20人≤从业人员＜300人，且300万元≤营业收入＜2000万元，为小型企业；④从业人员＜20人，或营业收入＜300万元，为微型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14.4</w:t>
            </w:r>
          </w:p>
        </w:tc>
        <w:tc>
          <w:tcPr>
            <w:tcW w:w="1907" w:type="dxa"/>
            <w:vAlign w:val="center"/>
          </w:tcPr>
          <w:p>
            <w:pPr>
              <w:pStyle w:val="5"/>
              <w:keepNext w:val="0"/>
              <w:keepLines w:val="0"/>
              <w:pageBreakBefore w:val="0"/>
              <w:kinsoku/>
              <w:wordWrap/>
              <w:overflowPunct/>
              <w:topLinePunct w:val="0"/>
              <w:autoSpaceDE/>
              <w:autoSpaceDN/>
              <w:bidi w:val="0"/>
              <w:adjustRightInd/>
              <w:spacing w:before="0" w:beforeAutospacing="0" w:afterAutospacing="0" w:line="500" w:lineRule="exact"/>
              <w:ind w:left="0" w:leftChars="0"/>
              <w:jc w:val="center"/>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rPr>
              <w:t>中小企业声明函填写说明</w:t>
            </w:r>
          </w:p>
        </w:tc>
        <w:tc>
          <w:tcPr>
            <w:tcW w:w="610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both"/>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i w:val="0"/>
                <w:iCs w:val="0"/>
                <w:caps w:val="0"/>
                <w:color w:val="auto"/>
                <w:spacing w:val="0"/>
                <w:sz w:val="24"/>
                <w:szCs w:val="24"/>
                <w:highlight w:val="none"/>
              </w:rPr>
              <w:t>从业人员、营业收入、资产总额填报上一年度数据，无上一年度数据的新成立企业从业人员、营业收入、资产总额均填0，根据提交投标（响应）文件时的实际情况填写企业类型。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14.5</w:t>
            </w:r>
          </w:p>
        </w:tc>
        <w:tc>
          <w:tcPr>
            <w:tcW w:w="1907" w:type="dxa"/>
            <w:vAlign w:val="center"/>
          </w:tcPr>
          <w:p>
            <w:pPr>
              <w:pStyle w:val="5"/>
              <w:keepNext w:val="0"/>
              <w:keepLines w:val="0"/>
              <w:pageBreakBefore w:val="0"/>
              <w:kinsoku/>
              <w:wordWrap/>
              <w:overflowPunct/>
              <w:topLinePunct w:val="0"/>
              <w:autoSpaceDE/>
              <w:autoSpaceDN/>
              <w:bidi w:val="0"/>
              <w:adjustRightInd/>
              <w:spacing w:before="0" w:beforeAutospacing="0" w:afterAutospacing="0" w:line="500" w:lineRule="exact"/>
              <w:ind w:left="0" w:leftChars="0"/>
              <w:jc w:val="center"/>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声明函澄清、</w:t>
            </w:r>
          </w:p>
          <w:p>
            <w:pPr>
              <w:pStyle w:val="5"/>
              <w:keepNext w:val="0"/>
              <w:keepLines w:val="0"/>
              <w:pageBreakBefore w:val="0"/>
              <w:kinsoku/>
              <w:wordWrap/>
              <w:overflowPunct/>
              <w:topLinePunct w:val="0"/>
              <w:autoSpaceDE/>
              <w:autoSpaceDN/>
              <w:bidi w:val="0"/>
              <w:adjustRightInd/>
              <w:spacing w:before="0" w:beforeAutospacing="0" w:afterAutospacing="0" w:line="500" w:lineRule="exact"/>
              <w:ind w:left="0" w:leftChars="0"/>
              <w:jc w:val="center"/>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rPr>
              <w:t>修正</w:t>
            </w:r>
          </w:p>
        </w:tc>
        <w:tc>
          <w:tcPr>
            <w:tcW w:w="610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00" w:lineRule="exact"/>
              <w:ind w:left="0" w:leftChars="0" w:firstLine="0" w:firstLineChars="0"/>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声明函中存在明显笔误、划</w:t>
            </w:r>
            <w:r>
              <w:rPr>
                <w:rFonts w:hint="default" w:ascii="仿宋" w:hAnsi="仿宋" w:eastAsia="仿宋" w:cs="仿宋"/>
                <w:color w:val="auto"/>
                <w:sz w:val="24"/>
                <w:szCs w:val="24"/>
                <w:lang w:val="en-US" w:eastAsia="zh-CN"/>
              </w:rPr>
              <w:t>型</w:t>
            </w:r>
            <w:r>
              <w:rPr>
                <w:rFonts w:hint="eastAsia" w:ascii="仿宋" w:hAnsi="仿宋" w:eastAsia="仿宋" w:cs="仿宋"/>
                <w:color w:val="auto"/>
                <w:sz w:val="24"/>
                <w:szCs w:val="24"/>
                <w:lang w:val="en-US" w:eastAsia="zh-CN"/>
              </w:rPr>
              <w:t>错误、同一内容前后不一致等无主观故意为之的</w:t>
            </w:r>
            <w:r>
              <w:rPr>
                <w:rFonts w:hint="default" w:ascii="仿宋" w:hAnsi="仿宋" w:eastAsia="仿宋" w:cs="仿宋"/>
                <w:color w:val="auto"/>
                <w:sz w:val="24"/>
                <w:szCs w:val="24"/>
                <w:lang w:val="en-US" w:eastAsia="zh-CN"/>
              </w:rPr>
              <w:t>情</w:t>
            </w:r>
            <w:r>
              <w:rPr>
                <w:rFonts w:hint="eastAsia" w:ascii="仿宋" w:hAnsi="仿宋" w:eastAsia="仿宋" w:cs="仿宋"/>
                <w:color w:val="auto"/>
                <w:sz w:val="24"/>
                <w:szCs w:val="24"/>
                <w:lang w:val="en-US" w:eastAsia="zh-CN"/>
              </w:rPr>
              <w:t>形，评标小组可要求供应商予以澄清，澄清后符合中小企业条件的，该声明函有效，否则无效，不享受价格优惠。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15</w:t>
            </w:r>
          </w:p>
        </w:tc>
        <w:tc>
          <w:tcPr>
            <w:tcW w:w="1907" w:type="dxa"/>
            <w:tcBorders>
              <w:right w:val="nil"/>
            </w:tcBorders>
            <w:vAlign w:val="center"/>
          </w:tcPr>
          <w:p>
            <w:pPr>
              <w:keepNext w:val="0"/>
              <w:keepLines w:val="0"/>
              <w:pageBreakBefore w:val="0"/>
              <w:kinsoku/>
              <w:wordWrap/>
              <w:overflowPunct/>
              <w:topLinePunct w:val="0"/>
              <w:autoSpaceDE/>
              <w:autoSpaceDN/>
              <w:bidi w:val="0"/>
              <w:adjustRightInd/>
              <w:spacing w:line="500" w:lineRule="exact"/>
              <w:jc w:val="center"/>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highlight w:val="none"/>
                <w:lang w:val="en-US" w:eastAsia="zh-CN"/>
              </w:rPr>
              <w:t>合同</w:t>
            </w:r>
          </w:p>
        </w:tc>
        <w:tc>
          <w:tcPr>
            <w:tcW w:w="6109" w:type="dxa"/>
            <w:tcBorders>
              <w:left w:val="nil"/>
            </w:tcBorders>
            <w:vAlign w:val="center"/>
          </w:tcPr>
          <w:p>
            <w:pPr>
              <w:keepNext w:val="0"/>
              <w:keepLines w:val="0"/>
              <w:pageBreakBefore w:val="0"/>
              <w:tabs>
                <w:tab w:val="left" w:pos="7013"/>
              </w:tabs>
              <w:kinsoku/>
              <w:wordWrap/>
              <w:overflowPunct/>
              <w:topLinePunct w:val="0"/>
              <w:autoSpaceDE/>
              <w:autoSpaceDN/>
              <w:bidi w:val="0"/>
              <w:adjustRightInd/>
              <w:spacing w:line="500" w:lineRule="exact"/>
              <w:rPr>
                <w:rFonts w:hint="eastAsia" w:ascii="仿宋" w:hAnsi="仿宋" w:eastAsia="仿宋" w:cs="仿宋"/>
                <w:color w:val="auto"/>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15.1</w:t>
            </w:r>
          </w:p>
        </w:tc>
        <w:tc>
          <w:tcPr>
            <w:tcW w:w="1907"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合同类型</w:t>
            </w:r>
          </w:p>
        </w:tc>
        <w:tc>
          <w:tcPr>
            <w:tcW w:w="6109" w:type="dxa"/>
            <w:vAlign w:val="center"/>
          </w:tcPr>
          <w:p>
            <w:pPr>
              <w:pStyle w:val="11"/>
              <w:keepNext w:val="0"/>
              <w:keepLines w:val="0"/>
              <w:pageBreakBefore w:val="0"/>
              <w:kinsoku/>
              <w:wordWrap/>
              <w:overflowPunct/>
              <w:topLinePunct w:val="0"/>
              <w:autoSpaceDE/>
              <w:autoSpaceDN/>
              <w:bidi w:val="0"/>
              <w:adjustRightInd/>
              <w:spacing w:line="500" w:lineRule="exact"/>
              <w:outlineLvl w:val="3"/>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固定总价合同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15.2</w:t>
            </w:r>
          </w:p>
        </w:tc>
        <w:tc>
          <w:tcPr>
            <w:tcW w:w="1907"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签订合同</w:t>
            </w:r>
          </w:p>
        </w:tc>
        <w:tc>
          <w:tcPr>
            <w:tcW w:w="6109" w:type="dxa"/>
            <w:vAlign w:val="center"/>
          </w:tcPr>
          <w:p>
            <w:pPr>
              <w:keepNext w:val="0"/>
              <w:keepLines w:val="0"/>
              <w:pageBreakBefore w:val="0"/>
              <w:tabs>
                <w:tab w:val="left" w:pos="0"/>
              </w:tabs>
              <w:kinsoku/>
              <w:wordWrap/>
              <w:overflowPunct/>
              <w:topLinePunct w:val="0"/>
              <w:autoSpaceDE/>
              <w:autoSpaceDN/>
              <w:bidi w:val="0"/>
              <w:adjustRightInd/>
              <w:spacing w:line="500" w:lineRule="exact"/>
              <w:rPr>
                <w:rFonts w:hint="eastAsia" w:ascii="仿宋" w:hAnsi="仿宋" w:eastAsia="仿宋" w:cs="仿宋"/>
                <w:bCs/>
                <w:color w:val="auto"/>
                <w:sz w:val="24"/>
                <w:szCs w:val="24"/>
                <w:lang w:eastAsia="zh-CN"/>
              </w:rPr>
            </w:pPr>
            <w:r>
              <w:rPr>
                <w:rFonts w:hint="eastAsia" w:ascii="仿宋" w:hAnsi="仿宋" w:eastAsia="仿宋" w:cs="仿宋"/>
                <w:bCs/>
                <w:color w:val="auto"/>
                <w:sz w:val="24"/>
                <w:szCs w:val="24"/>
              </w:rPr>
              <w:t>1、</w:t>
            </w:r>
            <w:r>
              <w:rPr>
                <w:rFonts w:hint="eastAsia" w:ascii="仿宋" w:hAnsi="仿宋" w:eastAsia="仿宋" w:cs="仿宋"/>
                <w:bCs/>
                <w:color w:val="auto"/>
                <w:sz w:val="24"/>
                <w:szCs w:val="24"/>
                <w:lang w:val="en-US" w:eastAsia="zh-CN"/>
              </w:rPr>
              <w:t>自</w:t>
            </w:r>
            <w:r>
              <w:rPr>
                <w:rFonts w:hint="eastAsia" w:ascii="仿宋" w:hAnsi="仿宋" w:eastAsia="仿宋" w:cs="仿宋"/>
                <w:bCs/>
                <w:color w:val="auto"/>
                <w:sz w:val="24"/>
                <w:szCs w:val="24"/>
                <w:lang w:eastAsia="zh-CN"/>
              </w:rPr>
              <w:t>中标</w:t>
            </w:r>
            <w:r>
              <w:rPr>
                <w:rFonts w:hint="eastAsia" w:ascii="仿宋" w:hAnsi="仿宋" w:eastAsia="仿宋" w:cs="仿宋"/>
                <w:bCs/>
                <w:color w:val="auto"/>
                <w:sz w:val="24"/>
                <w:szCs w:val="24"/>
              </w:rPr>
              <w:t>通知书</w:t>
            </w:r>
            <w:r>
              <w:rPr>
                <w:rFonts w:hint="eastAsia" w:ascii="仿宋" w:hAnsi="仿宋" w:eastAsia="仿宋" w:cs="仿宋"/>
                <w:bCs/>
                <w:color w:val="auto"/>
                <w:sz w:val="24"/>
                <w:szCs w:val="24"/>
                <w:lang w:val="en-US" w:eastAsia="zh-CN"/>
              </w:rPr>
              <w:t>发出之日起</w:t>
            </w:r>
            <w:r>
              <w:rPr>
                <w:rFonts w:hint="eastAsia" w:ascii="仿宋" w:hAnsi="仿宋" w:eastAsia="仿宋" w:cs="仿宋"/>
                <w:bCs/>
                <w:color w:val="auto"/>
                <w:sz w:val="24"/>
                <w:szCs w:val="24"/>
                <w:highlight w:val="none"/>
                <w:lang w:val="en-US" w:eastAsia="zh-CN"/>
              </w:rPr>
              <w:t>三十日</w:t>
            </w:r>
            <w:r>
              <w:rPr>
                <w:rFonts w:hint="eastAsia" w:ascii="仿宋" w:hAnsi="仿宋" w:eastAsia="仿宋" w:cs="仿宋"/>
                <w:bCs/>
                <w:color w:val="auto"/>
                <w:sz w:val="24"/>
                <w:szCs w:val="24"/>
                <w:lang w:eastAsia="zh-CN"/>
              </w:rPr>
              <w:t>（按照政府采购最新政策规定，应当自</w:t>
            </w:r>
            <w:r>
              <w:rPr>
                <w:rFonts w:hint="eastAsia" w:ascii="仿宋" w:hAnsi="仿宋" w:eastAsia="仿宋" w:cs="仿宋"/>
                <w:bCs/>
                <w:color w:val="auto"/>
                <w:sz w:val="24"/>
                <w:szCs w:val="24"/>
                <w:lang w:val="en-US" w:eastAsia="zh-CN"/>
              </w:rPr>
              <w:t>中标</w:t>
            </w:r>
            <w:r>
              <w:rPr>
                <w:rFonts w:hint="eastAsia" w:ascii="仿宋" w:hAnsi="仿宋" w:eastAsia="仿宋" w:cs="仿宋"/>
                <w:bCs/>
                <w:color w:val="auto"/>
                <w:sz w:val="24"/>
                <w:szCs w:val="24"/>
                <w:lang w:eastAsia="zh-CN"/>
              </w:rPr>
              <w:t>通知书发出之日起二十五日）</w:t>
            </w:r>
            <w:r>
              <w:rPr>
                <w:rFonts w:hint="eastAsia" w:ascii="仿宋" w:hAnsi="仿宋" w:eastAsia="仿宋" w:cs="仿宋"/>
                <w:bCs/>
                <w:color w:val="auto"/>
                <w:sz w:val="24"/>
                <w:szCs w:val="24"/>
              </w:rPr>
              <w:t>内</w:t>
            </w:r>
            <w:r>
              <w:rPr>
                <w:rFonts w:hint="eastAsia" w:ascii="仿宋" w:hAnsi="仿宋" w:eastAsia="仿宋" w:cs="仿宋"/>
                <w:bCs/>
                <w:color w:val="auto"/>
                <w:sz w:val="24"/>
                <w:szCs w:val="24"/>
                <w:lang w:eastAsia="zh-CN"/>
              </w:rPr>
              <w:t>，</w:t>
            </w:r>
            <w:r>
              <w:rPr>
                <w:rFonts w:hint="eastAsia" w:ascii="仿宋" w:hAnsi="仿宋" w:eastAsia="仿宋" w:cs="仿宋"/>
                <w:bCs/>
                <w:color w:val="auto"/>
                <w:sz w:val="24"/>
                <w:szCs w:val="24"/>
                <w:lang w:val="en-US" w:eastAsia="zh-CN"/>
              </w:rPr>
              <w:t>采购人与中标人按照招标文件确定的事项和投标文件订立书面合同。采购人和中标人不得再行订立背离合同实质性内容的其他协议</w:t>
            </w:r>
            <w:r>
              <w:rPr>
                <w:rFonts w:hint="eastAsia" w:ascii="仿宋" w:hAnsi="仿宋" w:eastAsia="仿宋" w:cs="仿宋"/>
                <w:bCs/>
                <w:color w:val="auto"/>
                <w:sz w:val="24"/>
                <w:szCs w:val="24"/>
                <w:lang w:eastAsia="zh-CN"/>
              </w:rPr>
              <w:t>。</w:t>
            </w:r>
          </w:p>
          <w:p>
            <w:pPr>
              <w:keepNext w:val="0"/>
              <w:keepLines w:val="0"/>
              <w:pageBreakBefore w:val="0"/>
              <w:tabs>
                <w:tab w:val="left" w:pos="0"/>
              </w:tabs>
              <w:kinsoku/>
              <w:wordWrap/>
              <w:overflowPunct/>
              <w:topLinePunct w:val="0"/>
              <w:autoSpaceDE/>
              <w:autoSpaceDN/>
              <w:bidi w:val="0"/>
              <w:adjustRightInd/>
              <w:spacing w:line="500" w:lineRule="exact"/>
              <w:rPr>
                <w:rFonts w:hint="eastAsia" w:ascii="仿宋" w:hAnsi="仿宋" w:eastAsia="仿宋" w:cs="仿宋"/>
                <w:bCs/>
                <w:color w:val="auto"/>
                <w:sz w:val="24"/>
                <w:szCs w:val="24"/>
                <w:lang w:eastAsia="zh-CN"/>
              </w:rPr>
            </w:pPr>
            <w:r>
              <w:rPr>
                <w:rFonts w:hint="eastAsia" w:ascii="仿宋" w:hAnsi="仿宋" w:eastAsia="仿宋" w:cs="仿宋"/>
                <w:bCs/>
                <w:color w:val="auto"/>
                <w:sz w:val="24"/>
                <w:szCs w:val="24"/>
              </w:rPr>
              <w:t>2、</w:t>
            </w:r>
            <w:r>
              <w:rPr>
                <w:rFonts w:hint="eastAsia" w:ascii="仿宋" w:hAnsi="仿宋" w:eastAsia="仿宋" w:cs="仿宋"/>
                <w:bCs/>
                <w:color w:val="auto"/>
                <w:sz w:val="24"/>
                <w:szCs w:val="24"/>
                <w:lang w:val="en-US" w:eastAsia="zh-CN"/>
              </w:rPr>
              <w:t>招标文件要求中标人提交履约保证金或者其他形式履约或风险保证的，中标人应当提交；拒绝提交的，视为放弃中标资格</w:t>
            </w:r>
            <w:r>
              <w:rPr>
                <w:rFonts w:hint="eastAsia" w:ascii="仿宋" w:hAnsi="仿宋" w:eastAsia="仿宋" w:cs="仿宋"/>
                <w:bCs/>
                <w:color w:val="auto"/>
                <w:sz w:val="24"/>
                <w:szCs w:val="24"/>
                <w:lang w:eastAsia="zh-CN"/>
              </w:rPr>
              <w:t>。</w:t>
            </w:r>
          </w:p>
          <w:p>
            <w:pPr>
              <w:keepNext w:val="0"/>
              <w:keepLines w:val="0"/>
              <w:pageBreakBefore w:val="0"/>
              <w:tabs>
                <w:tab w:val="left" w:pos="0"/>
              </w:tabs>
              <w:kinsoku/>
              <w:wordWrap/>
              <w:overflowPunct/>
              <w:topLinePunct w:val="0"/>
              <w:autoSpaceDE/>
              <w:autoSpaceDN/>
              <w:bidi w:val="0"/>
              <w:adjustRightInd/>
              <w:spacing w:line="500" w:lineRule="exact"/>
              <w:rPr>
                <w:rFonts w:hint="eastAsia" w:ascii="仿宋" w:hAnsi="仿宋" w:eastAsia="仿宋" w:cs="仿宋"/>
                <w:bCs/>
                <w:color w:val="auto"/>
                <w:sz w:val="24"/>
                <w:szCs w:val="24"/>
              </w:rPr>
            </w:pPr>
            <w:r>
              <w:rPr>
                <w:rFonts w:hint="eastAsia" w:ascii="仿宋" w:hAnsi="仿宋" w:eastAsia="仿宋" w:cs="仿宋"/>
                <w:bCs/>
                <w:color w:val="auto"/>
                <w:sz w:val="24"/>
                <w:szCs w:val="24"/>
              </w:rPr>
              <w:t>3、</w:t>
            </w:r>
            <w:r>
              <w:rPr>
                <w:rFonts w:hint="eastAsia" w:ascii="仿宋" w:hAnsi="仿宋" w:eastAsia="仿宋" w:cs="仿宋"/>
                <w:bCs/>
                <w:color w:val="auto"/>
                <w:sz w:val="24"/>
                <w:szCs w:val="24"/>
                <w:lang w:val="en-US" w:eastAsia="zh-CN"/>
              </w:rPr>
              <w:t>甲乙双方无正当理由不按规定签订合同，或在签订合同时向对方提出附加条件，更改合同实质性内容的，依法承担相应法律责任；给对方造成损失的应当赔偿。</w:t>
            </w:r>
          </w:p>
          <w:p>
            <w:pPr>
              <w:keepNext w:val="0"/>
              <w:keepLines w:val="0"/>
              <w:pageBreakBefore w:val="0"/>
              <w:tabs>
                <w:tab w:val="left" w:pos="0"/>
              </w:tabs>
              <w:kinsoku/>
              <w:wordWrap/>
              <w:overflowPunct/>
              <w:topLinePunct w:val="0"/>
              <w:autoSpaceDE/>
              <w:autoSpaceDN/>
              <w:bidi w:val="0"/>
              <w:adjustRightInd/>
              <w:spacing w:line="500" w:lineRule="exact"/>
              <w:rPr>
                <w:rFonts w:hint="eastAsia" w:ascii="仿宋" w:hAnsi="仿宋" w:eastAsia="仿宋" w:cs="仿宋"/>
                <w:bCs/>
                <w:color w:val="auto"/>
                <w:sz w:val="24"/>
                <w:szCs w:val="24"/>
                <w:lang w:eastAsia="zh-CN"/>
              </w:rPr>
            </w:pPr>
            <w:r>
              <w:rPr>
                <w:rFonts w:hint="eastAsia" w:ascii="仿宋" w:hAnsi="仿宋" w:eastAsia="仿宋" w:cs="仿宋"/>
                <w:bCs/>
                <w:color w:val="auto"/>
                <w:sz w:val="24"/>
                <w:szCs w:val="24"/>
              </w:rPr>
              <w:t>4、中标通知书是合同的重要组成部分。招标文件、投标文件及评审过程中有关的澄清文件均作为合同附件</w:t>
            </w:r>
            <w:r>
              <w:rPr>
                <w:rFonts w:hint="eastAsia" w:ascii="仿宋" w:hAnsi="仿宋" w:eastAsia="仿宋" w:cs="仿宋"/>
                <w:bCs/>
                <w:color w:val="auto"/>
                <w:sz w:val="24"/>
                <w:szCs w:val="24"/>
                <w:lang w:eastAsia="zh-CN"/>
              </w:rPr>
              <w:t>。</w:t>
            </w:r>
            <w:r>
              <w:rPr>
                <w:rFonts w:hint="eastAsia" w:ascii="仿宋" w:hAnsi="仿宋" w:eastAsia="仿宋" w:cs="仿宋"/>
                <w:bCs/>
                <w:color w:val="auto"/>
                <w:sz w:val="24"/>
                <w:szCs w:val="24"/>
                <w:lang w:val="en-US" w:eastAsia="zh-CN"/>
              </w:rPr>
              <w:t>中标无效的，发出的中标通知书和签订的合同自始没有法律约束力，但不影响合同中独立存在的有关解决争议方法的条款的效力。</w:t>
            </w:r>
          </w:p>
          <w:p>
            <w:pPr>
              <w:keepNext w:val="0"/>
              <w:keepLines w:val="0"/>
              <w:pageBreakBefore w:val="0"/>
              <w:tabs>
                <w:tab w:val="left" w:pos="0"/>
              </w:tabs>
              <w:kinsoku/>
              <w:wordWrap/>
              <w:overflowPunct/>
              <w:topLinePunct w:val="0"/>
              <w:autoSpaceDE/>
              <w:autoSpaceDN/>
              <w:bidi w:val="0"/>
              <w:adjustRightInd/>
              <w:spacing w:line="500" w:lineRule="exact"/>
              <w:rPr>
                <w:rFonts w:hint="eastAsia" w:ascii="仿宋" w:hAnsi="仿宋" w:eastAsia="仿宋" w:cs="仿宋"/>
                <w:bCs/>
                <w:color w:val="auto"/>
                <w:sz w:val="24"/>
                <w:szCs w:val="24"/>
              </w:rPr>
            </w:pPr>
            <w:r>
              <w:rPr>
                <w:rFonts w:hint="eastAsia" w:ascii="仿宋" w:hAnsi="仿宋" w:eastAsia="仿宋" w:cs="仿宋"/>
                <w:bCs/>
                <w:color w:val="auto"/>
                <w:sz w:val="24"/>
                <w:szCs w:val="24"/>
                <w:lang w:val="en-US" w:eastAsia="zh-CN"/>
              </w:rPr>
              <w:t>5</w:t>
            </w:r>
            <w:r>
              <w:rPr>
                <w:rFonts w:hint="eastAsia" w:ascii="仿宋" w:hAnsi="仿宋" w:eastAsia="仿宋" w:cs="仿宋"/>
                <w:bCs/>
                <w:color w:val="auto"/>
                <w:sz w:val="24"/>
                <w:szCs w:val="24"/>
              </w:rPr>
              <w:t>、中标人应按照合同约定履行义务。</w:t>
            </w:r>
          </w:p>
          <w:p>
            <w:pPr>
              <w:keepNext w:val="0"/>
              <w:keepLines w:val="0"/>
              <w:pageBreakBefore w:val="0"/>
              <w:tabs>
                <w:tab w:val="left" w:pos="0"/>
              </w:tabs>
              <w:kinsoku/>
              <w:wordWrap/>
              <w:overflowPunct/>
              <w:topLinePunct w:val="0"/>
              <w:autoSpaceDE/>
              <w:autoSpaceDN/>
              <w:bidi w:val="0"/>
              <w:adjustRightInd/>
              <w:spacing w:line="500" w:lineRule="exact"/>
              <w:rPr>
                <w:rFonts w:ascii="仿宋_GB2312" w:hAnsi="仿宋_GB2312" w:eastAsia="仿宋_GB2312" w:cs="仿宋_GB2312"/>
                <w:color w:val="auto"/>
              </w:rPr>
            </w:pPr>
            <w:r>
              <w:rPr>
                <w:rFonts w:hint="eastAsia" w:ascii="仿宋" w:hAnsi="仿宋" w:eastAsia="仿宋" w:cs="仿宋"/>
                <w:bCs/>
                <w:color w:val="auto"/>
                <w:sz w:val="24"/>
                <w:szCs w:val="24"/>
                <w:lang w:val="en-US" w:eastAsia="zh-CN"/>
              </w:rPr>
              <w:t>6</w:t>
            </w:r>
            <w:r>
              <w:rPr>
                <w:rFonts w:hint="eastAsia" w:ascii="仿宋" w:hAnsi="仿宋" w:eastAsia="仿宋" w:cs="仿宋"/>
                <w:bCs/>
                <w:color w:val="auto"/>
                <w:sz w:val="24"/>
                <w:szCs w:val="24"/>
              </w:rPr>
              <w:t>、合同不得对招标文件确定的事项和中标人投标文件作实质性修改。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15.3</w:t>
            </w:r>
          </w:p>
        </w:tc>
        <w:tc>
          <w:tcPr>
            <w:tcW w:w="1907" w:type="dxa"/>
            <w:vAlign w:val="center"/>
          </w:tcPr>
          <w:p>
            <w:pPr>
              <w:pStyle w:val="5"/>
              <w:keepNext w:val="0"/>
              <w:keepLines w:val="0"/>
              <w:pageBreakBefore w:val="0"/>
              <w:kinsoku/>
              <w:wordWrap/>
              <w:overflowPunct/>
              <w:topLinePunct w:val="0"/>
              <w:autoSpaceDE/>
              <w:autoSpaceDN/>
              <w:bidi w:val="0"/>
              <w:adjustRightInd/>
              <w:spacing w:before="0" w:beforeAutospacing="0" w:afterAutospacing="0" w:line="50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合同分包、转包</w:t>
            </w:r>
          </w:p>
        </w:tc>
        <w:tc>
          <w:tcPr>
            <w:tcW w:w="6109" w:type="dxa"/>
            <w:vAlign w:val="center"/>
          </w:tcPr>
          <w:p>
            <w:pPr>
              <w:keepNext w:val="0"/>
              <w:keepLines w:val="0"/>
              <w:pageBreakBefore w:val="0"/>
              <w:numPr>
                <w:ilvl w:val="0"/>
                <w:numId w:val="0"/>
              </w:numPr>
              <w:kinsoku/>
              <w:wordWrap/>
              <w:overflowPunct/>
              <w:topLinePunct w:val="0"/>
              <w:autoSpaceDE/>
              <w:autoSpaceDN/>
              <w:bidi w:val="0"/>
              <w:adjustRightInd/>
              <w:spacing w:line="500" w:lineRule="exact"/>
              <w:ind w:left="0" w:leftChars="0" w:firstLine="0" w:firstLineChars="0"/>
              <w:rPr>
                <w:rFonts w:hint="eastAsia" w:ascii="仿宋" w:hAnsi="仿宋" w:eastAsia="仿宋" w:cs="仿宋"/>
                <w:color w:val="auto"/>
                <w:sz w:val="24"/>
                <w:szCs w:val="24"/>
                <w:lang w:val="en-US" w:eastAsia="zh-CN"/>
              </w:rPr>
            </w:pPr>
            <w:r>
              <w:rPr>
                <w:rFonts w:hint="eastAsia" w:ascii="仿宋" w:hAnsi="仿宋" w:eastAsia="仿宋" w:cs="仿宋"/>
                <w:color w:val="auto"/>
                <w:kern w:val="0"/>
                <w:sz w:val="24"/>
                <w:szCs w:val="24"/>
                <w:lang w:val="en-US" w:eastAsia="zh-CN"/>
              </w:rPr>
              <w:t>不允许</w:t>
            </w:r>
            <w:r>
              <w:rPr>
                <w:rFonts w:hint="eastAsia" w:ascii="仿宋" w:hAnsi="仿宋" w:eastAsia="仿宋" w:cs="仿宋"/>
                <w:color w:val="auto"/>
                <w:sz w:val="24"/>
                <w:szCs w:val="24"/>
                <w:lang w:val="en-US" w:eastAsia="zh-CN"/>
              </w:rPr>
              <w:t>；</w:t>
            </w:r>
          </w:p>
          <w:p>
            <w:pPr>
              <w:keepNext w:val="0"/>
              <w:keepLines w:val="0"/>
              <w:pageBreakBefore w:val="0"/>
              <w:widowControl/>
              <w:kinsoku/>
              <w:wordWrap/>
              <w:overflowPunct/>
              <w:topLinePunct w:val="0"/>
              <w:autoSpaceDE/>
              <w:autoSpaceDN/>
              <w:bidi w:val="0"/>
              <w:adjustRightInd/>
              <w:spacing w:line="500" w:lineRule="exact"/>
              <w:rPr>
                <w:rFonts w:hint="eastAsia" w:ascii="仿宋" w:hAnsi="仿宋" w:eastAsia="仿宋" w:cs="仿宋"/>
                <w:color w:val="auto"/>
                <w:kern w:val="2"/>
                <w:sz w:val="24"/>
                <w:szCs w:val="24"/>
                <w:lang w:val="en-US" w:eastAsia="zh-CN" w:bidi="ar-SA"/>
              </w:rPr>
            </w:pPr>
            <w:r>
              <w:rPr>
                <w:rFonts w:hint="eastAsia" w:ascii="仿宋" w:hAnsi="仿宋" w:eastAsia="仿宋" w:cs="仿宋"/>
                <w:bCs/>
                <w:color w:val="auto"/>
                <w:sz w:val="24"/>
                <w:szCs w:val="24"/>
                <w:lang w:val="en-US" w:eastAsia="zh-CN"/>
              </w:rPr>
              <w:t>提示：</w:t>
            </w:r>
            <w:r>
              <w:rPr>
                <w:rFonts w:hint="eastAsia" w:ascii="仿宋" w:hAnsi="仿宋" w:eastAsia="仿宋" w:cs="仿宋"/>
                <w:color w:val="auto"/>
                <w:kern w:val="0"/>
                <w:sz w:val="24"/>
                <w:szCs w:val="24"/>
              </w:rPr>
              <w:t>中小企业根据《政府采购促进中小企业发展管办法》（财库〔2020〕46号）规定的政策获取政府采购合同后，小型、微型企业不得分包或转包给大型、中型企业，中型企业不得分包或转包给大型企业。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15.4</w:t>
            </w:r>
          </w:p>
        </w:tc>
        <w:tc>
          <w:tcPr>
            <w:tcW w:w="1907"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lang w:val="en-US" w:eastAsia="zh-CN"/>
              </w:rPr>
              <w:t>合同争议及违约</w:t>
            </w:r>
          </w:p>
        </w:tc>
        <w:tc>
          <w:tcPr>
            <w:tcW w:w="6109" w:type="dxa"/>
            <w:vAlign w:val="center"/>
          </w:tcPr>
          <w:p>
            <w:pPr>
              <w:keepNext w:val="0"/>
              <w:keepLines w:val="0"/>
              <w:pageBreakBefore w:val="0"/>
              <w:numPr>
                <w:ilvl w:val="0"/>
                <w:numId w:val="0"/>
              </w:numPr>
              <w:kinsoku/>
              <w:wordWrap/>
              <w:overflowPunct/>
              <w:topLinePunct w:val="0"/>
              <w:autoSpaceDE/>
              <w:autoSpaceDN/>
              <w:bidi w:val="0"/>
              <w:adjustRightInd/>
              <w:spacing w:beforeAutospacing="0" w:afterAutospacing="0" w:line="500" w:lineRule="exact"/>
              <w:ind w:left="0" w:leftChars="0" w:firstLine="0" w:firstLineChars="0"/>
              <w:rPr>
                <w:rFonts w:hint="eastAsia" w:ascii="仿宋" w:hAnsi="仿宋" w:eastAsia="仿宋" w:cs="仿宋"/>
                <w:bCs/>
                <w:color w:val="auto"/>
                <w:sz w:val="24"/>
                <w:szCs w:val="24"/>
                <w:lang w:val="en-US" w:eastAsia="zh-CN"/>
              </w:rPr>
            </w:pPr>
            <w:r>
              <w:rPr>
                <w:rFonts w:hint="eastAsia" w:ascii="仿宋" w:hAnsi="仿宋" w:eastAsia="仿宋" w:cs="仿宋"/>
                <w:bCs/>
                <w:color w:val="auto"/>
                <w:sz w:val="24"/>
                <w:szCs w:val="24"/>
                <w:lang w:val="en-US" w:eastAsia="zh-CN"/>
              </w:rPr>
              <w:t>按本项目采购合同及《民法典》等相关规定执行。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16</w:t>
            </w:r>
          </w:p>
        </w:tc>
        <w:tc>
          <w:tcPr>
            <w:tcW w:w="1907" w:type="dxa"/>
            <w:vAlign w:val="center"/>
          </w:tcPr>
          <w:p>
            <w:pPr>
              <w:pStyle w:val="5"/>
              <w:keepNext w:val="0"/>
              <w:keepLines w:val="0"/>
              <w:pageBreakBefore w:val="0"/>
              <w:kinsoku/>
              <w:wordWrap/>
              <w:overflowPunct/>
              <w:topLinePunct w:val="0"/>
              <w:autoSpaceDE/>
              <w:autoSpaceDN/>
              <w:bidi w:val="0"/>
              <w:adjustRightInd/>
              <w:spacing w:before="0" w:beforeAutospacing="0" w:afterAutospacing="0" w:line="500" w:lineRule="exact"/>
              <w:jc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评标</w:t>
            </w:r>
          </w:p>
        </w:tc>
        <w:tc>
          <w:tcPr>
            <w:tcW w:w="6109" w:type="dxa"/>
            <w:vAlign w:val="center"/>
          </w:tcPr>
          <w:p>
            <w:pPr>
              <w:keepNext w:val="0"/>
              <w:keepLines w:val="0"/>
              <w:pageBreakBefore w:val="0"/>
              <w:widowControl/>
              <w:kinsoku/>
              <w:wordWrap/>
              <w:overflowPunct/>
              <w:topLinePunct w:val="0"/>
              <w:autoSpaceDE/>
              <w:autoSpaceDN/>
              <w:bidi w:val="0"/>
              <w:adjustRightInd/>
              <w:spacing w:line="500" w:lineRule="exact"/>
              <w:rPr>
                <w:rFonts w:hint="eastAsia" w:ascii="仿宋" w:hAnsi="仿宋" w:eastAsia="仿宋" w:cs="仿宋"/>
                <w:bCs/>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16.1</w:t>
            </w:r>
          </w:p>
        </w:tc>
        <w:tc>
          <w:tcPr>
            <w:tcW w:w="1907"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lang w:val="en-US" w:eastAsia="zh-CN"/>
              </w:rPr>
              <w:t>资格审查主体</w:t>
            </w:r>
          </w:p>
        </w:tc>
        <w:tc>
          <w:tcPr>
            <w:tcW w:w="6109" w:type="dxa"/>
            <w:vAlign w:val="center"/>
          </w:tcPr>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beforeAutospacing="0" w:afterAutospacing="0" w:line="500" w:lineRule="exact"/>
              <w:ind w:left="0" w:leftChars="0" w:firstLine="0" w:firstLineChars="0"/>
              <w:textAlignment w:val="auto"/>
              <w:rPr>
                <w:rFonts w:hint="eastAsia" w:ascii="仿宋" w:hAnsi="仿宋" w:eastAsia="仿宋" w:cs="仿宋"/>
                <w:bCs/>
                <w:color w:val="auto"/>
                <w:sz w:val="24"/>
                <w:szCs w:val="24"/>
                <w:lang w:val="en-US" w:eastAsia="zh-CN"/>
              </w:rPr>
            </w:pPr>
            <w:r>
              <w:rPr>
                <w:rFonts w:hint="eastAsia" w:ascii="仿宋" w:hAnsi="仿宋" w:eastAsia="仿宋" w:cs="仿宋"/>
                <w:b w:val="0"/>
                <w:bCs w:val="0"/>
                <w:color w:val="auto"/>
                <w:kern w:val="0"/>
                <w:sz w:val="24"/>
                <w:szCs w:val="24"/>
                <w:highlight w:val="none"/>
                <w:lang w:val="en-US" w:eastAsia="zh-CN" w:bidi="ar-SA"/>
              </w:rPr>
              <w:t>采购人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16.2</w:t>
            </w:r>
          </w:p>
        </w:tc>
        <w:tc>
          <w:tcPr>
            <w:tcW w:w="1907"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strike w:val="0"/>
                <w:dstrike w:val="0"/>
                <w:color w:val="auto"/>
                <w:sz w:val="24"/>
                <w:szCs w:val="24"/>
                <w:highlight w:val="none"/>
                <w:lang w:val="en-US" w:eastAsia="zh-CN"/>
              </w:rPr>
              <w:t>符合性审查主体</w:t>
            </w:r>
          </w:p>
        </w:tc>
        <w:tc>
          <w:tcPr>
            <w:tcW w:w="6109" w:type="dxa"/>
            <w:vAlign w:val="center"/>
          </w:tcPr>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beforeAutospacing="0" w:afterAutospacing="0" w:line="500" w:lineRule="exact"/>
              <w:ind w:left="0" w:leftChars="0" w:firstLine="0" w:firstLineChars="0"/>
              <w:jc w:val="left"/>
              <w:textAlignment w:val="auto"/>
              <w:rPr>
                <w:rFonts w:hint="eastAsia" w:ascii="仿宋" w:hAnsi="仿宋" w:eastAsia="仿宋" w:cs="仿宋"/>
                <w:bCs/>
                <w:color w:val="auto"/>
                <w:sz w:val="24"/>
                <w:szCs w:val="24"/>
                <w:lang w:val="en-US" w:eastAsia="zh-CN"/>
              </w:rPr>
            </w:pPr>
            <w:r>
              <w:rPr>
                <w:rFonts w:hint="eastAsia" w:ascii="仿宋" w:hAnsi="仿宋" w:eastAsia="仿宋" w:cs="仿宋"/>
                <w:b w:val="0"/>
                <w:bCs w:val="0"/>
                <w:color w:val="auto"/>
                <w:kern w:val="0"/>
                <w:sz w:val="24"/>
                <w:szCs w:val="24"/>
                <w:lang w:val="en-US" w:eastAsia="zh-CN" w:bidi="ar-SA"/>
              </w:rPr>
              <w:t>评</w:t>
            </w:r>
            <w:r>
              <w:rPr>
                <w:rFonts w:hint="eastAsia" w:ascii="仿宋" w:hAnsi="仿宋" w:eastAsia="仿宋" w:cs="仿宋"/>
                <w:color w:val="auto"/>
                <w:sz w:val="24"/>
              </w:rPr>
              <w:t>标</w:t>
            </w:r>
            <w:r>
              <w:rPr>
                <w:rFonts w:hint="eastAsia" w:ascii="仿宋" w:hAnsi="仿宋" w:eastAsia="仿宋" w:cs="仿宋"/>
                <w:b w:val="0"/>
                <w:bCs w:val="0"/>
                <w:color w:val="auto"/>
                <w:kern w:val="0"/>
                <w:sz w:val="24"/>
                <w:szCs w:val="24"/>
                <w:lang w:val="en-US" w:eastAsia="zh-CN" w:bidi="ar-SA"/>
              </w:rPr>
              <w:t>小组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17</w:t>
            </w:r>
          </w:p>
        </w:tc>
        <w:tc>
          <w:tcPr>
            <w:tcW w:w="1907" w:type="dxa"/>
            <w:tcBorders>
              <w:right w:val="nil"/>
            </w:tcBorders>
            <w:vAlign w:val="center"/>
          </w:tcPr>
          <w:p>
            <w:pPr>
              <w:keepNext w:val="0"/>
              <w:keepLines w:val="0"/>
              <w:pageBreakBefore w:val="0"/>
              <w:numPr>
                <w:ilvl w:val="0"/>
                <w:numId w:val="0"/>
              </w:numPr>
              <w:kinsoku/>
              <w:wordWrap/>
              <w:overflowPunct/>
              <w:topLinePunct w:val="0"/>
              <w:autoSpaceDE/>
              <w:autoSpaceDN/>
              <w:bidi w:val="0"/>
              <w:adjustRightInd/>
              <w:spacing w:beforeAutospacing="0" w:afterAutospacing="0" w:line="500" w:lineRule="exact"/>
              <w:ind w:left="0" w:leftChars="0" w:firstLine="0" w:firstLineChars="0"/>
              <w:jc w:val="center"/>
              <w:rPr>
                <w:rFonts w:hint="eastAsia" w:ascii="仿宋" w:hAnsi="仿宋" w:eastAsia="仿宋" w:cs="仿宋"/>
                <w:bCs/>
                <w:color w:val="auto"/>
                <w:sz w:val="24"/>
                <w:szCs w:val="24"/>
                <w:lang w:val="en-US" w:eastAsia="zh-CN"/>
              </w:rPr>
            </w:pPr>
            <w:r>
              <w:rPr>
                <w:rFonts w:hint="eastAsia" w:ascii="仿宋" w:hAnsi="仿宋" w:eastAsia="仿宋" w:cs="仿宋"/>
                <w:color w:val="auto"/>
                <w:sz w:val="24"/>
                <w:szCs w:val="24"/>
                <w:lang w:val="en-US" w:eastAsia="zh-CN"/>
              </w:rPr>
              <w:t>中标人</w:t>
            </w:r>
          </w:p>
        </w:tc>
        <w:tc>
          <w:tcPr>
            <w:tcW w:w="6109" w:type="dxa"/>
            <w:tcBorders>
              <w:left w:val="nil"/>
            </w:tcBorders>
            <w:vAlign w:val="center"/>
          </w:tcPr>
          <w:p>
            <w:pPr>
              <w:keepNext w:val="0"/>
              <w:keepLines w:val="0"/>
              <w:pageBreakBefore w:val="0"/>
              <w:numPr>
                <w:ilvl w:val="0"/>
                <w:numId w:val="0"/>
              </w:numPr>
              <w:kinsoku/>
              <w:wordWrap/>
              <w:overflowPunct/>
              <w:topLinePunct w:val="0"/>
              <w:autoSpaceDE/>
              <w:autoSpaceDN/>
              <w:bidi w:val="0"/>
              <w:adjustRightInd/>
              <w:spacing w:beforeAutospacing="0" w:afterAutospacing="0" w:line="500" w:lineRule="exact"/>
              <w:ind w:left="0" w:leftChars="0" w:firstLine="0" w:firstLineChars="0"/>
              <w:rPr>
                <w:rFonts w:hint="eastAsia" w:ascii="仿宋" w:hAnsi="仿宋" w:eastAsia="仿宋" w:cs="仿宋"/>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17.1</w:t>
            </w:r>
          </w:p>
        </w:tc>
        <w:tc>
          <w:tcPr>
            <w:tcW w:w="1907" w:type="dxa"/>
            <w:vAlign w:val="center"/>
          </w:tcPr>
          <w:p>
            <w:pPr>
              <w:keepNext w:val="0"/>
              <w:keepLines w:val="0"/>
              <w:pageBreakBefore w:val="0"/>
              <w:kinsoku/>
              <w:wordWrap/>
              <w:overflowPunct/>
              <w:topLinePunct w:val="0"/>
              <w:autoSpaceDE/>
              <w:autoSpaceDN/>
              <w:bidi w:val="0"/>
              <w:adjustRightInd/>
              <w:spacing w:line="500" w:lineRule="exact"/>
              <w:jc w:val="center"/>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highlight w:val="none"/>
                <w:lang w:val="en-US" w:eastAsia="zh-CN"/>
              </w:rPr>
              <w:t>确定中标人</w:t>
            </w:r>
          </w:p>
        </w:tc>
        <w:tc>
          <w:tcPr>
            <w:tcW w:w="6109" w:type="dxa"/>
            <w:vAlign w:val="center"/>
          </w:tcPr>
          <w:p>
            <w:pPr>
              <w:keepNext w:val="0"/>
              <w:keepLines w:val="0"/>
              <w:pageBreakBefore w:val="0"/>
              <w:numPr>
                <w:ilvl w:val="0"/>
                <w:numId w:val="0"/>
              </w:numPr>
              <w:tabs>
                <w:tab w:val="left" w:pos="0"/>
              </w:tabs>
              <w:kinsoku/>
              <w:wordWrap/>
              <w:overflowPunct/>
              <w:topLinePunct w:val="0"/>
              <w:autoSpaceDE/>
              <w:autoSpaceDN/>
              <w:bidi w:val="0"/>
              <w:adjustRightInd/>
              <w:spacing w:line="500" w:lineRule="exact"/>
              <w:ind w:left="0" w:leftChars="0" w:firstLine="0" w:firstLineChars="0"/>
              <w:textAlignment w:val="auto"/>
              <w:rPr>
                <w:rFonts w:hint="eastAsia" w:ascii="仿宋" w:hAnsi="仿宋" w:eastAsia="仿宋" w:cs="仿宋"/>
                <w:bCs/>
                <w:color w:val="auto"/>
                <w:sz w:val="24"/>
                <w:szCs w:val="24"/>
                <w:lang w:val="en-US" w:eastAsia="zh-CN"/>
              </w:rPr>
            </w:pPr>
            <w:r>
              <w:rPr>
                <w:rFonts w:hint="eastAsia" w:ascii="仿宋" w:hAnsi="仿宋" w:eastAsia="仿宋" w:cs="仿宋"/>
                <w:color w:val="auto"/>
                <w:kern w:val="0"/>
                <w:sz w:val="24"/>
                <w:szCs w:val="24"/>
                <w:lang w:val="en-US" w:eastAsia="zh-CN" w:bidi="ar-SA"/>
              </w:rPr>
              <w:t>采购人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17.2</w:t>
            </w:r>
          </w:p>
        </w:tc>
        <w:tc>
          <w:tcPr>
            <w:tcW w:w="1907" w:type="dxa"/>
            <w:vAlign w:val="center"/>
          </w:tcPr>
          <w:p>
            <w:pPr>
              <w:keepNext w:val="0"/>
              <w:keepLines w:val="0"/>
              <w:pageBreakBefore w:val="0"/>
              <w:kinsoku/>
              <w:wordWrap/>
              <w:overflowPunct/>
              <w:topLinePunct w:val="0"/>
              <w:autoSpaceDE/>
              <w:autoSpaceDN/>
              <w:bidi w:val="0"/>
              <w:adjustRightInd/>
              <w:snapToGrid w:val="0"/>
              <w:spacing w:line="500" w:lineRule="exact"/>
              <w:jc w:val="center"/>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highlight w:val="none"/>
                <w:lang w:val="en-US" w:eastAsia="zh-CN"/>
              </w:rPr>
              <w:t>中标人变更</w:t>
            </w:r>
          </w:p>
        </w:tc>
        <w:tc>
          <w:tcPr>
            <w:tcW w:w="6109" w:type="dxa"/>
            <w:vAlign w:val="center"/>
          </w:tcPr>
          <w:p>
            <w:pPr>
              <w:keepNext w:val="0"/>
              <w:keepLines w:val="0"/>
              <w:pageBreakBefore w:val="0"/>
              <w:kinsoku/>
              <w:wordWrap/>
              <w:overflowPunct/>
              <w:topLinePunct w:val="0"/>
              <w:autoSpaceDE/>
              <w:autoSpaceDN/>
              <w:bidi w:val="0"/>
              <w:adjustRightInd/>
              <w:snapToGrid w:val="0"/>
              <w:spacing w:line="500" w:lineRule="exact"/>
              <w:jc w:val="left"/>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根据采购法实施条例第49条和财库便函【2019】154号文，中标人拒绝与采购人签订合同（或弃标），采购人可根据采购项目的实际情况，综合考虑递补供应商的经济性和效率等因素，自主确定是否重新开展采购活动或确定下一候选人为中标或者成交供应商。</w:t>
            </w:r>
          </w:p>
          <w:p>
            <w:pPr>
              <w:keepNext w:val="0"/>
              <w:keepLines w:val="0"/>
              <w:pageBreakBefore w:val="0"/>
              <w:kinsoku/>
              <w:wordWrap/>
              <w:overflowPunct/>
              <w:topLinePunct w:val="0"/>
              <w:autoSpaceDE/>
              <w:autoSpaceDN/>
              <w:bidi w:val="0"/>
              <w:adjustRightInd/>
              <w:snapToGrid w:val="0"/>
              <w:spacing w:line="500" w:lineRule="exact"/>
              <w:jc w:val="left"/>
              <w:textAlignment w:val="baseline"/>
              <w:rPr>
                <w:rFonts w:hint="default" w:ascii="仿宋" w:hAnsi="仿宋" w:eastAsia="仿宋" w:cs="仿宋"/>
                <w:color w:val="auto"/>
                <w:sz w:val="24"/>
                <w:szCs w:val="24"/>
                <w:highlight w:val="none"/>
                <w:lang w:val="en-US" w:eastAsia="zh-CN"/>
              </w:rPr>
            </w:pPr>
            <w:r>
              <w:rPr>
                <w:rFonts w:hint="default" w:ascii="仿宋" w:hAnsi="仿宋" w:eastAsia="仿宋" w:cs="仿宋"/>
                <w:color w:val="auto"/>
                <w:sz w:val="24"/>
                <w:szCs w:val="24"/>
                <w:highlight w:val="none"/>
                <w:lang w:val="en-US" w:eastAsia="zh-CN"/>
              </w:rPr>
              <w:t>2.出现变更中标人的其他情形时，按照政府采购法及相关法律法规进行。</w:t>
            </w:r>
          </w:p>
          <w:p>
            <w:pPr>
              <w:keepNext w:val="0"/>
              <w:keepLines w:val="0"/>
              <w:pageBreakBefore w:val="0"/>
              <w:kinsoku/>
              <w:wordWrap/>
              <w:overflowPunct/>
              <w:topLinePunct w:val="0"/>
              <w:autoSpaceDE/>
              <w:autoSpaceDN/>
              <w:bidi w:val="0"/>
              <w:adjustRightInd/>
              <w:snapToGrid w:val="0"/>
              <w:spacing w:line="500" w:lineRule="exact"/>
              <w:jc w:val="both"/>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kern w:val="0"/>
                <w:sz w:val="24"/>
                <w:lang w:val="en-US" w:eastAsia="zh-CN"/>
              </w:rPr>
              <w:t>3.合同签订前，若中标人经营状况发生变化，中标人须及时向采购人说明情况，采购人认为中标人不具备履约能力，可取消其中标资格</w:t>
            </w:r>
            <w:r>
              <w:rPr>
                <w:rFonts w:hint="eastAsia" w:ascii="仿宋" w:hAnsi="仿宋" w:eastAsia="仿宋" w:cs="仿宋"/>
                <w:bCs/>
                <w:color w:val="auto"/>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18</w:t>
            </w:r>
          </w:p>
        </w:tc>
        <w:tc>
          <w:tcPr>
            <w:tcW w:w="1907" w:type="dxa"/>
            <w:vAlign w:val="center"/>
          </w:tcPr>
          <w:p>
            <w:pPr>
              <w:keepNext w:val="0"/>
              <w:keepLines w:val="0"/>
              <w:pageBreakBefore w:val="0"/>
              <w:kinsoku/>
              <w:wordWrap/>
              <w:overflowPunct/>
              <w:topLinePunct w:val="0"/>
              <w:autoSpaceDE/>
              <w:autoSpaceDN/>
              <w:bidi w:val="0"/>
              <w:adjustRightInd/>
              <w:snapToGrid w:val="0"/>
              <w:spacing w:line="500" w:lineRule="exact"/>
              <w:jc w:val="center"/>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b w:val="0"/>
                <w:bCs/>
                <w:color w:val="auto"/>
                <w:sz w:val="24"/>
                <w:szCs w:val="24"/>
              </w:rPr>
              <w:t>重新采购</w:t>
            </w:r>
            <w:r>
              <w:rPr>
                <w:rFonts w:hint="eastAsia" w:ascii="仿宋" w:hAnsi="仿宋" w:eastAsia="仿宋" w:cs="仿宋"/>
                <w:b/>
                <w:bCs w:val="0"/>
                <w:color w:val="auto"/>
                <w:sz w:val="24"/>
                <w:szCs w:val="24"/>
                <w:lang w:val="en-US" w:eastAsia="zh-CN"/>
              </w:rPr>
              <w:t xml:space="preserve"> </w:t>
            </w:r>
          </w:p>
        </w:tc>
        <w:tc>
          <w:tcPr>
            <w:tcW w:w="6109" w:type="dxa"/>
            <w:vAlign w:val="center"/>
          </w:tcPr>
          <w:p>
            <w:pPr>
              <w:keepNext w:val="0"/>
              <w:keepLines w:val="0"/>
              <w:pageBreakBefore w:val="0"/>
              <w:tabs>
                <w:tab w:val="left" w:pos="0"/>
              </w:tabs>
              <w:kinsoku/>
              <w:wordWrap/>
              <w:overflowPunct/>
              <w:topLinePunct w:val="0"/>
              <w:autoSpaceDE/>
              <w:autoSpaceDN/>
              <w:bidi w:val="0"/>
              <w:adjustRightInd/>
              <w:spacing w:line="500" w:lineRule="exact"/>
              <w:rPr>
                <w:rFonts w:hint="eastAsia" w:ascii="仿宋" w:hAnsi="仿宋" w:eastAsia="仿宋" w:cs="仿宋"/>
                <w:bCs/>
                <w:color w:val="auto"/>
                <w:sz w:val="24"/>
                <w:szCs w:val="24"/>
              </w:rPr>
            </w:pPr>
            <w:r>
              <w:rPr>
                <w:rFonts w:hint="eastAsia" w:ascii="仿宋" w:hAnsi="仿宋" w:eastAsia="仿宋" w:cs="仿宋"/>
                <w:bCs/>
                <w:color w:val="auto"/>
                <w:sz w:val="24"/>
                <w:szCs w:val="24"/>
                <w:lang w:val="en-US" w:eastAsia="zh-CN"/>
              </w:rPr>
              <w:t>1.</w:t>
            </w:r>
            <w:r>
              <w:rPr>
                <w:rFonts w:hint="eastAsia" w:ascii="仿宋" w:hAnsi="仿宋" w:eastAsia="仿宋" w:cs="仿宋"/>
                <w:bCs/>
                <w:color w:val="auto"/>
                <w:sz w:val="24"/>
                <w:szCs w:val="24"/>
              </w:rPr>
              <w:t>出现影响</w:t>
            </w:r>
            <w:r>
              <w:rPr>
                <w:rFonts w:hint="eastAsia" w:ascii="仿宋" w:hAnsi="仿宋" w:eastAsia="仿宋" w:cs="仿宋"/>
                <w:bCs/>
                <w:color w:val="auto"/>
                <w:sz w:val="24"/>
                <w:szCs w:val="24"/>
                <w:lang w:val="en-US" w:eastAsia="zh-CN"/>
              </w:rPr>
              <w:t>采购</w:t>
            </w:r>
            <w:r>
              <w:rPr>
                <w:rFonts w:hint="eastAsia" w:ascii="仿宋" w:hAnsi="仿宋" w:eastAsia="仿宋" w:cs="仿宋"/>
                <w:bCs/>
                <w:color w:val="auto"/>
                <w:sz w:val="24"/>
                <w:szCs w:val="24"/>
              </w:rPr>
              <w:t>公正的违法、违规行为的；</w:t>
            </w:r>
          </w:p>
          <w:p>
            <w:pPr>
              <w:keepNext w:val="0"/>
              <w:keepLines w:val="0"/>
              <w:pageBreakBefore w:val="0"/>
              <w:tabs>
                <w:tab w:val="left" w:pos="0"/>
              </w:tabs>
              <w:kinsoku/>
              <w:wordWrap/>
              <w:overflowPunct/>
              <w:topLinePunct w:val="0"/>
              <w:autoSpaceDE/>
              <w:autoSpaceDN/>
              <w:bidi w:val="0"/>
              <w:adjustRightInd/>
              <w:spacing w:line="500" w:lineRule="exact"/>
              <w:rPr>
                <w:rFonts w:hint="eastAsia" w:ascii="仿宋" w:hAnsi="仿宋" w:eastAsia="仿宋" w:cs="仿宋"/>
                <w:bCs/>
                <w:color w:val="auto"/>
                <w:sz w:val="24"/>
                <w:szCs w:val="24"/>
              </w:rPr>
            </w:pPr>
            <w:r>
              <w:rPr>
                <w:rFonts w:hint="eastAsia" w:ascii="仿宋" w:hAnsi="仿宋" w:eastAsia="仿宋" w:cs="仿宋"/>
                <w:bCs/>
                <w:color w:val="auto"/>
                <w:sz w:val="24"/>
                <w:szCs w:val="24"/>
                <w:lang w:val="en-US" w:eastAsia="zh-CN"/>
              </w:rPr>
              <w:t>2.</w:t>
            </w:r>
            <w:r>
              <w:rPr>
                <w:rFonts w:hint="eastAsia" w:ascii="仿宋" w:hAnsi="仿宋" w:eastAsia="仿宋" w:cs="仿宋"/>
                <w:bCs/>
                <w:color w:val="auto"/>
                <w:sz w:val="24"/>
                <w:szCs w:val="24"/>
              </w:rPr>
              <w:t>实质响应的供应商不足三家的；</w:t>
            </w:r>
            <w:r>
              <w:rPr>
                <w:rFonts w:hint="eastAsia" w:ascii="仿宋" w:hAnsi="仿宋" w:eastAsia="仿宋" w:cs="仿宋"/>
                <w:bCs/>
                <w:color w:val="auto"/>
                <w:sz w:val="24"/>
                <w:szCs w:val="24"/>
                <w:lang w:eastAsia="zh-CN"/>
              </w:rPr>
              <w:t>（经审批可采取其他采购方式的除外）</w:t>
            </w:r>
          </w:p>
          <w:p>
            <w:pPr>
              <w:keepNext w:val="0"/>
              <w:keepLines w:val="0"/>
              <w:pageBreakBefore w:val="0"/>
              <w:tabs>
                <w:tab w:val="left" w:pos="0"/>
              </w:tabs>
              <w:kinsoku/>
              <w:wordWrap/>
              <w:overflowPunct/>
              <w:topLinePunct w:val="0"/>
              <w:autoSpaceDE/>
              <w:autoSpaceDN/>
              <w:bidi w:val="0"/>
              <w:adjustRightInd/>
              <w:spacing w:line="500" w:lineRule="exact"/>
              <w:rPr>
                <w:rFonts w:hint="eastAsia" w:ascii="仿宋" w:hAnsi="仿宋" w:eastAsia="仿宋" w:cs="仿宋"/>
                <w:bCs/>
                <w:color w:val="auto"/>
                <w:sz w:val="24"/>
                <w:szCs w:val="24"/>
              </w:rPr>
            </w:pPr>
            <w:r>
              <w:rPr>
                <w:rFonts w:hint="eastAsia" w:ascii="仿宋" w:hAnsi="仿宋" w:eastAsia="仿宋" w:cs="仿宋"/>
                <w:bCs/>
                <w:color w:val="auto"/>
                <w:sz w:val="24"/>
                <w:szCs w:val="24"/>
                <w:lang w:val="en-US" w:eastAsia="zh-CN"/>
              </w:rPr>
              <w:t>3.</w:t>
            </w:r>
            <w:r>
              <w:rPr>
                <w:rFonts w:hint="eastAsia" w:ascii="仿宋" w:hAnsi="仿宋" w:eastAsia="仿宋" w:cs="仿宋"/>
                <w:bCs/>
                <w:color w:val="auto"/>
                <w:sz w:val="24"/>
                <w:szCs w:val="24"/>
              </w:rPr>
              <w:t>所有</w:t>
            </w:r>
            <w:r>
              <w:rPr>
                <w:rFonts w:hint="eastAsia" w:ascii="仿宋" w:hAnsi="仿宋" w:eastAsia="仿宋" w:cs="仿宋"/>
                <w:bCs/>
                <w:color w:val="auto"/>
                <w:sz w:val="24"/>
                <w:szCs w:val="24"/>
                <w:lang w:val="en-US" w:eastAsia="zh-CN"/>
              </w:rPr>
              <w:t>供应商</w:t>
            </w:r>
            <w:r>
              <w:rPr>
                <w:rFonts w:hint="eastAsia" w:ascii="仿宋" w:hAnsi="仿宋" w:eastAsia="仿宋" w:cs="仿宋"/>
                <w:bCs/>
                <w:color w:val="auto"/>
                <w:sz w:val="24"/>
                <w:szCs w:val="24"/>
              </w:rPr>
              <w:t>的报价均超出</w:t>
            </w:r>
            <w:r>
              <w:rPr>
                <w:rFonts w:hint="eastAsia" w:ascii="仿宋" w:hAnsi="仿宋" w:eastAsia="仿宋" w:cs="仿宋"/>
                <w:bCs/>
                <w:color w:val="auto"/>
                <w:sz w:val="24"/>
                <w:szCs w:val="24"/>
                <w:lang w:val="en-US" w:eastAsia="zh-CN"/>
              </w:rPr>
              <w:t>项目预算金额</w:t>
            </w:r>
            <w:r>
              <w:rPr>
                <w:rFonts w:hint="eastAsia" w:ascii="仿宋" w:hAnsi="仿宋" w:eastAsia="仿宋" w:cs="仿宋"/>
                <w:bCs/>
                <w:color w:val="auto"/>
                <w:sz w:val="24"/>
                <w:szCs w:val="24"/>
              </w:rPr>
              <w:t>或最高限价，</w:t>
            </w:r>
            <w:r>
              <w:rPr>
                <w:rFonts w:hint="eastAsia" w:ascii="仿宋" w:hAnsi="仿宋" w:eastAsia="仿宋" w:cs="仿宋"/>
                <w:bCs/>
                <w:color w:val="auto"/>
                <w:sz w:val="24"/>
                <w:szCs w:val="24"/>
                <w:lang w:val="en-US" w:eastAsia="zh-CN"/>
              </w:rPr>
              <w:t>采购</w:t>
            </w:r>
            <w:r>
              <w:rPr>
                <w:rFonts w:hint="eastAsia" w:ascii="仿宋" w:hAnsi="仿宋" w:eastAsia="仿宋" w:cs="仿宋"/>
                <w:bCs/>
                <w:color w:val="auto"/>
                <w:sz w:val="24"/>
                <w:szCs w:val="24"/>
              </w:rPr>
              <w:t>人不能支付的；</w:t>
            </w:r>
          </w:p>
          <w:p>
            <w:pPr>
              <w:keepNext w:val="0"/>
              <w:keepLines w:val="0"/>
              <w:pageBreakBefore w:val="0"/>
              <w:tabs>
                <w:tab w:val="left" w:pos="0"/>
              </w:tabs>
              <w:kinsoku/>
              <w:wordWrap/>
              <w:overflowPunct/>
              <w:topLinePunct w:val="0"/>
              <w:autoSpaceDE/>
              <w:autoSpaceDN/>
              <w:bidi w:val="0"/>
              <w:adjustRightInd/>
              <w:spacing w:line="500" w:lineRule="exact"/>
              <w:rPr>
                <w:rFonts w:hint="eastAsia" w:ascii="仿宋" w:hAnsi="仿宋" w:eastAsia="仿宋" w:cs="仿宋"/>
                <w:bCs/>
                <w:color w:val="auto"/>
                <w:sz w:val="24"/>
                <w:szCs w:val="24"/>
              </w:rPr>
            </w:pPr>
            <w:r>
              <w:rPr>
                <w:rFonts w:hint="eastAsia" w:ascii="仿宋" w:hAnsi="仿宋" w:eastAsia="仿宋" w:cs="仿宋"/>
                <w:bCs/>
                <w:color w:val="auto"/>
                <w:sz w:val="24"/>
                <w:szCs w:val="24"/>
                <w:lang w:val="en-US" w:eastAsia="zh-CN"/>
              </w:rPr>
              <w:t>4.项目发生重大变更；</w:t>
            </w:r>
          </w:p>
          <w:p>
            <w:pPr>
              <w:keepNext w:val="0"/>
              <w:keepLines w:val="0"/>
              <w:pageBreakBefore w:val="0"/>
              <w:tabs>
                <w:tab w:val="left" w:pos="0"/>
              </w:tabs>
              <w:kinsoku/>
              <w:wordWrap/>
              <w:overflowPunct/>
              <w:topLinePunct w:val="0"/>
              <w:autoSpaceDE/>
              <w:autoSpaceDN/>
              <w:bidi w:val="0"/>
              <w:adjustRightInd/>
              <w:spacing w:line="500" w:lineRule="exact"/>
              <w:rPr>
                <w:rFonts w:hint="eastAsia" w:ascii="仿宋" w:hAnsi="仿宋" w:eastAsia="仿宋" w:cs="仿宋"/>
                <w:color w:val="auto"/>
                <w:sz w:val="24"/>
                <w:szCs w:val="24"/>
                <w:highlight w:val="none"/>
                <w:lang w:val="en-US" w:eastAsia="zh-CN"/>
              </w:rPr>
            </w:pPr>
            <w:r>
              <w:rPr>
                <w:rFonts w:hint="eastAsia" w:ascii="仿宋" w:hAnsi="仿宋" w:eastAsia="仿宋" w:cs="仿宋"/>
                <w:bCs/>
                <w:color w:val="auto"/>
                <w:sz w:val="24"/>
                <w:szCs w:val="24"/>
                <w:lang w:val="en-US" w:eastAsia="zh-CN"/>
              </w:rPr>
              <w:t>5.</w:t>
            </w:r>
            <w:r>
              <w:rPr>
                <w:rFonts w:hint="eastAsia" w:ascii="仿宋" w:hAnsi="仿宋" w:eastAsia="仿宋" w:cs="仿宋"/>
                <w:bCs/>
                <w:color w:val="auto"/>
                <w:sz w:val="24"/>
                <w:szCs w:val="24"/>
              </w:rPr>
              <w:t>法律法规</w:t>
            </w:r>
            <w:r>
              <w:rPr>
                <w:rFonts w:hint="eastAsia" w:ascii="仿宋" w:hAnsi="仿宋" w:eastAsia="仿宋" w:cs="仿宋"/>
                <w:bCs/>
                <w:color w:val="auto"/>
                <w:sz w:val="24"/>
                <w:szCs w:val="24"/>
                <w:lang w:val="en-US" w:eastAsia="zh-CN"/>
              </w:rPr>
              <w:t>和招标文件</w:t>
            </w:r>
            <w:r>
              <w:rPr>
                <w:rFonts w:hint="eastAsia" w:ascii="仿宋" w:hAnsi="仿宋" w:eastAsia="仿宋" w:cs="仿宋"/>
                <w:bCs/>
                <w:color w:val="auto"/>
                <w:sz w:val="24"/>
                <w:szCs w:val="24"/>
              </w:rPr>
              <w:t>规定的其他情形。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19</w:t>
            </w:r>
          </w:p>
        </w:tc>
        <w:tc>
          <w:tcPr>
            <w:tcW w:w="1907"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b w:val="0"/>
                <w:bCs w:val="0"/>
                <w:color w:val="auto"/>
                <w:kern w:val="0"/>
                <w:sz w:val="24"/>
                <w:szCs w:val="24"/>
                <w:highlight w:val="yellow"/>
                <w:lang w:val="en-US" w:eastAsia="zh-CN" w:bidi="ar-SA"/>
              </w:rPr>
            </w:pPr>
            <w:r>
              <w:rPr>
                <w:rFonts w:hint="eastAsia" w:ascii="仿宋" w:hAnsi="仿宋" w:eastAsia="仿宋" w:cs="仿宋"/>
                <w:color w:val="auto"/>
                <w:sz w:val="24"/>
                <w:szCs w:val="24"/>
              </w:rPr>
              <w:t>无效标</w:t>
            </w:r>
          </w:p>
        </w:tc>
        <w:tc>
          <w:tcPr>
            <w:tcW w:w="6109"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投标文件出现下列情形之一为无效投标：</w:t>
            </w:r>
          </w:p>
          <w:p>
            <w:pPr>
              <w:keepNext w:val="0"/>
              <w:keepLines w:val="0"/>
              <w:pageBreakBefore w:val="0"/>
              <w:kinsoku/>
              <w:wordWrap/>
              <w:overflowPunct/>
              <w:topLinePunct w:val="0"/>
              <w:autoSpaceDE/>
              <w:autoSpaceDN/>
              <w:bidi w:val="0"/>
              <w:adjustRightInd/>
              <w:spacing w:beforeAutospacing="0" w:afterAutospacing="0" w:line="500" w:lineRule="exact"/>
              <w:rPr>
                <w:rFonts w:hint="eastAsia" w:ascii="仿宋" w:hAnsi="仿宋" w:eastAsia="仿宋" w:cs="仿宋"/>
                <w:color w:val="auto"/>
                <w:sz w:val="24"/>
                <w:szCs w:val="24"/>
              </w:rPr>
            </w:pPr>
            <w:r>
              <w:rPr>
                <w:rFonts w:hint="eastAsia" w:ascii="仿宋" w:hAnsi="仿宋" w:eastAsia="仿宋" w:cs="仿宋"/>
                <w:color w:val="auto"/>
                <w:sz w:val="24"/>
                <w:szCs w:val="24"/>
              </w:rPr>
              <w:t>1.未通过资格审查。</w:t>
            </w:r>
          </w:p>
          <w:p>
            <w:pPr>
              <w:keepNext w:val="0"/>
              <w:keepLines w:val="0"/>
              <w:pageBreakBefore w:val="0"/>
              <w:kinsoku/>
              <w:wordWrap/>
              <w:overflowPunct/>
              <w:topLinePunct w:val="0"/>
              <w:autoSpaceDE/>
              <w:autoSpaceDN/>
              <w:bidi w:val="0"/>
              <w:adjustRightInd/>
              <w:spacing w:beforeAutospacing="0" w:afterAutospacing="0" w:line="500" w:lineRule="exact"/>
              <w:rPr>
                <w:rFonts w:hint="eastAsia" w:ascii="仿宋" w:hAnsi="仿宋" w:eastAsia="仿宋" w:cs="仿宋"/>
                <w:color w:val="auto"/>
                <w:sz w:val="24"/>
                <w:szCs w:val="24"/>
              </w:rPr>
            </w:pPr>
            <w:r>
              <w:rPr>
                <w:rFonts w:hint="eastAsia" w:ascii="仿宋" w:hAnsi="仿宋" w:eastAsia="仿宋" w:cs="仿宋"/>
                <w:color w:val="auto"/>
                <w:sz w:val="24"/>
                <w:szCs w:val="24"/>
              </w:rPr>
              <w:t>2.未通过</w:t>
            </w:r>
            <w:r>
              <w:rPr>
                <w:rFonts w:hint="eastAsia" w:ascii="仿宋" w:hAnsi="仿宋" w:eastAsia="仿宋" w:cs="仿宋"/>
                <w:strike w:val="0"/>
                <w:dstrike w:val="0"/>
                <w:color w:val="auto"/>
                <w:sz w:val="24"/>
                <w:szCs w:val="24"/>
                <w:lang w:val="en-US" w:eastAsia="zh-CN"/>
              </w:rPr>
              <w:t>符合性</w:t>
            </w:r>
            <w:r>
              <w:rPr>
                <w:rFonts w:hint="eastAsia" w:ascii="仿宋" w:hAnsi="仿宋" w:eastAsia="仿宋" w:cs="仿宋"/>
                <w:color w:val="auto"/>
                <w:sz w:val="24"/>
                <w:szCs w:val="24"/>
                <w:lang w:val="en-US" w:eastAsia="zh-CN"/>
              </w:rPr>
              <w:t>审查</w:t>
            </w:r>
            <w:r>
              <w:rPr>
                <w:rFonts w:hint="eastAsia" w:ascii="仿宋" w:hAnsi="仿宋" w:eastAsia="仿宋" w:cs="仿宋"/>
                <w:color w:val="auto"/>
                <w:sz w:val="24"/>
                <w:szCs w:val="24"/>
              </w:rPr>
              <w:t>。</w:t>
            </w:r>
          </w:p>
          <w:p>
            <w:pPr>
              <w:keepNext w:val="0"/>
              <w:keepLines w:val="0"/>
              <w:pageBreakBefore w:val="0"/>
              <w:kinsoku/>
              <w:wordWrap/>
              <w:overflowPunct/>
              <w:topLinePunct w:val="0"/>
              <w:autoSpaceDE/>
              <w:autoSpaceDN/>
              <w:bidi w:val="0"/>
              <w:adjustRightInd/>
              <w:spacing w:beforeAutospacing="0" w:afterAutospacing="0" w:line="500" w:lineRule="exact"/>
              <w:rPr>
                <w:rFonts w:hint="eastAsia" w:ascii="仿宋" w:hAnsi="仿宋" w:eastAsia="仿宋" w:cs="仿宋"/>
                <w:color w:val="auto"/>
                <w:sz w:val="24"/>
                <w:szCs w:val="24"/>
              </w:rPr>
            </w:pPr>
            <w:r>
              <w:rPr>
                <w:rFonts w:hint="eastAsia" w:ascii="仿宋" w:hAnsi="仿宋" w:eastAsia="仿宋" w:cs="仿宋"/>
                <w:color w:val="auto"/>
                <w:sz w:val="24"/>
                <w:szCs w:val="24"/>
              </w:rPr>
              <w:t>3.</w:t>
            </w:r>
            <w:r>
              <w:rPr>
                <w:rFonts w:hint="eastAsia" w:ascii="仿宋" w:hAnsi="仿宋" w:eastAsia="仿宋" w:cs="仿宋"/>
                <w:color w:val="auto"/>
                <w:sz w:val="24"/>
                <w:szCs w:val="24"/>
                <w:lang w:val="en-US" w:eastAsia="zh-CN"/>
              </w:rPr>
              <w:t>有弄</w:t>
            </w:r>
            <w:r>
              <w:rPr>
                <w:rFonts w:hint="eastAsia" w:ascii="仿宋" w:hAnsi="仿宋" w:eastAsia="仿宋" w:cs="仿宋"/>
                <w:color w:val="auto"/>
                <w:sz w:val="24"/>
                <w:szCs w:val="24"/>
              </w:rPr>
              <w:t>虚</w:t>
            </w:r>
            <w:r>
              <w:rPr>
                <w:rFonts w:hint="eastAsia" w:ascii="仿宋" w:hAnsi="仿宋" w:eastAsia="仿宋" w:cs="仿宋"/>
                <w:color w:val="auto"/>
                <w:sz w:val="24"/>
                <w:szCs w:val="24"/>
                <w:lang w:val="en-US" w:eastAsia="zh-CN"/>
              </w:rPr>
              <w:t>作</w:t>
            </w:r>
            <w:r>
              <w:rPr>
                <w:rFonts w:hint="eastAsia" w:ascii="仿宋" w:hAnsi="仿宋" w:eastAsia="仿宋" w:cs="仿宋"/>
                <w:color w:val="auto"/>
                <w:sz w:val="24"/>
                <w:szCs w:val="24"/>
              </w:rPr>
              <w:t>假</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串标围标等违法违规行为的</w:t>
            </w:r>
            <w:r>
              <w:rPr>
                <w:rFonts w:hint="eastAsia" w:ascii="仿宋" w:hAnsi="仿宋" w:eastAsia="仿宋" w:cs="仿宋"/>
                <w:color w:val="auto"/>
                <w:sz w:val="24"/>
                <w:szCs w:val="24"/>
              </w:rPr>
              <w:t>。</w:t>
            </w:r>
          </w:p>
          <w:p>
            <w:pPr>
              <w:keepNext w:val="0"/>
              <w:keepLines w:val="0"/>
              <w:pageBreakBefore w:val="0"/>
              <w:kinsoku/>
              <w:wordWrap/>
              <w:overflowPunct/>
              <w:topLinePunct w:val="0"/>
              <w:autoSpaceDE/>
              <w:autoSpaceDN/>
              <w:bidi w:val="0"/>
              <w:adjustRightInd/>
              <w:spacing w:beforeAutospacing="0" w:afterAutospacing="0" w:line="500" w:lineRule="exact"/>
              <w:rPr>
                <w:rFonts w:hint="eastAsia" w:ascii="仿宋" w:hAnsi="仿宋" w:eastAsia="仿宋" w:cs="仿宋"/>
                <w:color w:val="auto"/>
                <w:sz w:val="24"/>
                <w:szCs w:val="24"/>
              </w:rPr>
            </w:pPr>
            <w:r>
              <w:rPr>
                <w:rFonts w:hint="eastAsia" w:ascii="仿宋" w:hAnsi="仿宋" w:eastAsia="仿宋" w:cs="仿宋"/>
                <w:color w:val="auto"/>
                <w:sz w:val="24"/>
                <w:szCs w:val="24"/>
              </w:rPr>
              <w:t>4.</w:t>
            </w:r>
            <w:r>
              <w:rPr>
                <w:rFonts w:hint="eastAsia" w:ascii="仿宋" w:hAnsi="仿宋" w:eastAsia="仿宋" w:cs="仿宋"/>
                <w:color w:val="auto"/>
                <w:sz w:val="24"/>
                <w:szCs w:val="24"/>
                <w:lang w:val="en-US" w:eastAsia="zh-CN"/>
              </w:rPr>
              <w:t>未在有效时间内获取招标资料。</w:t>
            </w:r>
          </w:p>
          <w:p>
            <w:pPr>
              <w:keepNext w:val="0"/>
              <w:keepLines w:val="0"/>
              <w:pageBreakBefore w:val="0"/>
              <w:kinsoku/>
              <w:wordWrap/>
              <w:overflowPunct/>
              <w:topLinePunct w:val="0"/>
              <w:autoSpaceDE/>
              <w:autoSpaceDN/>
              <w:bidi w:val="0"/>
              <w:adjustRightInd/>
              <w:spacing w:beforeAutospacing="0" w:afterAutospacing="0" w:line="500" w:lineRule="exac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5.投标</w:t>
            </w:r>
            <w:r>
              <w:rPr>
                <w:rFonts w:hint="eastAsia" w:ascii="仿宋" w:hAnsi="仿宋" w:eastAsia="仿宋" w:cs="仿宋"/>
                <w:color w:val="auto"/>
                <w:sz w:val="24"/>
                <w:szCs w:val="24"/>
              </w:rPr>
              <w:t>附有采购人</w:t>
            </w:r>
            <w:r>
              <w:rPr>
                <w:rFonts w:hint="eastAsia" w:ascii="仿宋" w:hAnsi="仿宋" w:eastAsia="仿宋" w:cs="仿宋"/>
                <w:color w:val="auto"/>
                <w:sz w:val="24"/>
                <w:szCs w:val="24"/>
                <w:lang w:val="en-US" w:eastAsia="zh-CN"/>
              </w:rPr>
              <w:t>不能接受的条件。</w:t>
            </w:r>
          </w:p>
          <w:p>
            <w:pPr>
              <w:keepNext w:val="0"/>
              <w:keepLines w:val="0"/>
              <w:pageBreakBefore w:val="0"/>
              <w:kinsoku/>
              <w:wordWrap/>
              <w:overflowPunct/>
              <w:topLinePunct w:val="0"/>
              <w:autoSpaceDE/>
              <w:autoSpaceDN/>
              <w:bidi w:val="0"/>
              <w:adjustRightInd/>
              <w:spacing w:beforeAutospacing="0" w:afterAutospacing="0" w:line="500" w:lineRule="exac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6.招标文件及法律法规规定的其他无效情形。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w:t>
            </w:r>
          </w:p>
        </w:tc>
        <w:tc>
          <w:tcPr>
            <w:tcW w:w="1907" w:type="dxa"/>
            <w:tcBorders>
              <w:right w:val="nil"/>
            </w:tcBorders>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履约验收</w:t>
            </w:r>
          </w:p>
        </w:tc>
        <w:tc>
          <w:tcPr>
            <w:tcW w:w="6109" w:type="dxa"/>
            <w:tcBorders>
              <w:left w:val="nil"/>
            </w:tcBorders>
            <w:vAlign w:val="center"/>
          </w:tcPr>
          <w:p>
            <w:pPr>
              <w:keepNext w:val="0"/>
              <w:keepLines w:val="0"/>
              <w:pageBreakBefore w:val="0"/>
              <w:numPr>
                <w:ilvl w:val="0"/>
                <w:numId w:val="0"/>
              </w:numPr>
              <w:shd w:val="clear"/>
              <w:kinsoku/>
              <w:wordWrap/>
              <w:overflowPunct/>
              <w:topLinePunct w:val="0"/>
              <w:autoSpaceDE/>
              <w:autoSpaceDN/>
              <w:bidi w:val="0"/>
              <w:adjustRightInd/>
              <w:spacing w:line="500" w:lineRule="exact"/>
              <w:ind w:left="0" w:leftChars="0" w:firstLine="0" w:firstLineChars="0"/>
              <w:rPr>
                <w:rFonts w:hint="eastAsia" w:ascii="仿宋" w:hAnsi="仿宋" w:eastAsia="仿宋" w:cs="仿宋"/>
                <w:color w:val="auto"/>
                <w:sz w:val="24"/>
                <w:szCs w:val="24"/>
                <w:highlight w:val="yellow"/>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20.1</w:t>
            </w:r>
          </w:p>
        </w:tc>
        <w:tc>
          <w:tcPr>
            <w:tcW w:w="1907" w:type="dxa"/>
            <w:tcBorders>
              <w:right w:val="single" w:color="auto" w:sz="4" w:space="0"/>
            </w:tcBorders>
            <w:vAlign w:val="center"/>
          </w:tcPr>
          <w:p>
            <w:pPr>
              <w:pStyle w:val="5"/>
              <w:keepNext w:val="0"/>
              <w:keepLines w:val="0"/>
              <w:pageBreakBefore w:val="0"/>
              <w:kinsoku/>
              <w:wordWrap/>
              <w:overflowPunct/>
              <w:topLinePunct w:val="0"/>
              <w:autoSpaceDE/>
              <w:autoSpaceDN/>
              <w:bidi w:val="0"/>
              <w:adjustRightInd/>
              <w:spacing w:before="0" w:beforeAutospacing="0" w:afterAutospacing="0" w:line="500" w:lineRule="exact"/>
              <w:ind w:left="0" w:leftChars="0"/>
              <w:jc w:val="center"/>
              <w:rPr>
                <w:rFonts w:hint="eastAsia" w:ascii="仿宋" w:hAnsi="仿宋" w:eastAsia="仿宋" w:cs="仿宋"/>
                <w:color w:val="auto"/>
                <w:sz w:val="24"/>
                <w:szCs w:val="24"/>
                <w:lang w:eastAsia="zh-CN"/>
              </w:rPr>
            </w:pPr>
            <w:r>
              <w:rPr>
                <w:rFonts w:hint="eastAsia" w:ascii="仿宋" w:hAnsi="仿宋" w:eastAsia="仿宋" w:cs="仿宋"/>
                <w:color w:val="auto"/>
                <w:kern w:val="0"/>
                <w:highlight w:val="none"/>
                <w:lang w:val="en-US" w:eastAsia="zh-CN"/>
              </w:rPr>
              <w:t>履约争议或违约</w:t>
            </w:r>
          </w:p>
        </w:tc>
        <w:tc>
          <w:tcPr>
            <w:tcW w:w="6109" w:type="dxa"/>
            <w:tcBorders>
              <w:left w:val="single" w:color="auto" w:sz="4" w:space="0"/>
            </w:tcBorders>
            <w:vAlign w:val="center"/>
          </w:tcPr>
          <w:p>
            <w:pPr>
              <w:keepNext w:val="0"/>
              <w:keepLines w:val="0"/>
              <w:pageBreakBefore w:val="0"/>
              <w:numPr>
                <w:ilvl w:val="0"/>
                <w:numId w:val="0"/>
              </w:numPr>
              <w:kinsoku/>
              <w:wordWrap/>
              <w:overflowPunct/>
              <w:topLinePunct w:val="0"/>
              <w:autoSpaceDE/>
              <w:autoSpaceDN/>
              <w:bidi w:val="0"/>
              <w:adjustRightInd/>
              <w:spacing w:beforeAutospacing="0" w:afterAutospacing="0" w:line="500" w:lineRule="exact"/>
              <w:ind w:left="0" w:leftChars="0" w:firstLine="0" w:firstLineChars="0"/>
              <w:rPr>
                <w:rFonts w:hint="eastAsia" w:ascii="仿宋" w:hAnsi="仿宋" w:eastAsia="仿宋" w:cs="仿宋"/>
                <w:color w:val="auto"/>
                <w:sz w:val="24"/>
                <w:szCs w:val="24"/>
                <w:highlight w:val="yellow"/>
                <w:lang w:val="en-US" w:eastAsia="zh-CN"/>
              </w:rPr>
            </w:pPr>
            <w:r>
              <w:rPr>
                <w:rFonts w:hint="eastAsia" w:ascii="仿宋" w:hAnsi="仿宋" w:eastAsia="仿宋" w:cs="仿宋"/>
                <w:bCs/>
                <w:color w:val="auto"/>
                <w:sz w:val="24"/>
                <w:szCs w:val="24"/>
                <w:lang w:val="en-US" w:eastAsia="zh-CN"/>
              </w:rPr>
              <w:t>供应商在合同履行过程中出现的争议及违约，按合同约定及民法典的规定追究违约方责任。有政府</w:t>
            </w:r>
            <w:r>
              <w:rPr>
                <w:rFonts w:hint="default" w:ascii="仿宋" w:hAnsi="仿宋" w:eastAsia="仿宋" w:cs="仿宋"/>
                <w:bCs/>
                <w:color w:val="auto"/>
                <w:sz w:val="24"/>
                <w:szCs w:val="24"/>
                <w:lang w:val="en-US" w:eastAsia="zh-CN"/>
              </w:rPr>
              <w:t>采购</w:t>
            </w:r>
            <w:r>
              <w:rPr>
                <w:rFonts w:hint="eastAsia" w:ascii="仿宋" w:hAnsi="仿宋" w:eastAsia="仿宋" w:cs="仿宋"/>
                <w:bCs/>
                <w:color w:val="auto"/>
                <w:sz w:val="24"/>
                <w:szCs w:val="24"/>
                <w:lang w:val="en-US" w:eastAsia="zh-CN"/>
              </w:rPr>
              <w:t>法律法规规定的违法违规情形的，采购人</w:t>
            </w:r>
            <w:r>
              <w:rPr>
                <w:rFonts w:hint="default" w:ascii="仿宋" w:hAnsi="仿宋" w:eastAsia="仿宋" w:cs="仿宋"/>
                <w:bCs/>
                <w:color w:val="auto"/>
                <w:sz w:val="24"/>
                <w:szCs w:val="24"/>
                <w:lang w:val="en-US" w:eastAsia="zh-CN"/>
              </w:rPr>
              <w:t>应当及时</w:t>
            </w:r>
            <w:r>
              <w:rPr>
                <w:rFonts w:hint="eastAsia" w:ascii="仿宋" w:hAnsi="仿宋" w:eastAsia="仿宋" w:cs="仿宋"/>
                <w:bCs/>
                <w:color w:val="auto"/>
                <w:sz w:val="24"/>
                <w:szCs w:val="24"/>
                <w:lang w:val="en-US" w:eastAsia="zh-CN"/>
              </w:rPr>
              <w:t>报告财政管理部门。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20.2</w:t>
            </w:r>
          </w:p>
        </w:tc>
        <w:tc>
          <w:tcPr>
            <w:tcW w:w="1907" w:type="dxa"/>
            <w:tcBorders>
              <w:right w:val="single" w:color="auto" w:sz="4" w:space="0"/>
            </w:tcBorders>
            <w:vAlign w:val="center"/>
          </w:tcPr>
          <w:p>
            <w:pPr>
              <w:pStyle w:val="5"/>
              <w:keepNext w:val="0"/>
              <w:keepLines w:val="0"/>
              <w:pageBreakBefore w:val="0"/>
              <w:kinsoku/>
              <w:wordWrap/>
              <w:overflowPunct/>
              <w:topLinePunct w:val="0"/>
              <w:autoSpaceDE/>
              <w:autoSpaceDN/>
              <w:bidi w:val="0"/>
              <w:adjustRightInd/>
              <w:spacing w:before="0" w:beforeAutospacing="0" w:afterAutospacing="0" w:line="500" w:lineRule="exact"/>
              <w:ind w:left="0" w:leftChars="0"/>
              <w:jc w:val="center"/>
              <w:rPr>
                <w:rFonts w:hint="eastAsia" w:ascii="仿宋" w:hAnsi="仿宋" w:eastAsia="仿宋" w:cs="仿宋"/>
                <w:color w:val="auto"/>
                <w:sz w:val="24"/>
                <w:szCs w:val="24"/>
                <w:lang w:eastAsia="zh-CN"/>
              </w:rPr>
            </w:pPr>
            <w:r>
              <w:rPr>
                <w:rFonts w:hint="eastAsia" w:ascii="仿宋" w:hAnsi="仿宋" w:eastAsia="仿宋" w:cs="仿宋"/>
                <w:color w:val="auto"/>
                <w:kern w:val="0"/>
                <w:highlight w:val="none"/>
                <w:lang w:val="en-US" w:eastAsia="zh-CN"/>
              </w:rPr>
              <w:t>履约验收主体</w:t>
            </w:r>
          </w:p>
        </w:tc>
        <w:tc>
          <w:tcPr>
            <w:tcW w:w="6109" w:type="dxa"/>
            <w:tcBorders>
              <w:left w:val="single" w:color="auto" w:sz="4" w:space="0"/>
            </w:tcBorders>
            <w:vAlign w:val="center"/>
          </w:tcPr>
          <w:p>
            <w:pPr>
              <w:keepNext w:val="0"/>
              <w:keepLines w:val="0"/>
              <w:pageBreakBefore w:val="0"/>
              <w:numPr>
                <w:ilvl w:val="0"/>
                <w:numId w:val="0"/>
              </w:numPr>
              <w:kinsoku/>
              <w:wordWrap/>
              <w:overflowPunct/>
              <w:topLinePunct w:val="0"/>
              <w:autoSpaceDE/>
              <w:autoSpaceDN/>
              <w:bidi w:val="0"/>
              <w:adjustRightInd/>
              <w:spacing w:line="500" w:lineRule="exact"/>
              <w:ind w:left="0" w:leftChars="0" w:firstLine="0" w:firstLineChars="0"/>
              <w:rPr>
                <w:rFonts w:hint="eastAsia" w:ascii="仿宋" w:hAnsi="仿宋" w:eastAsia="仿宋" w:cs="仿宋"/>
                <w:color w:val="auto"/>
                <w:sz w:val="24"/>
                <w:szCs w:val="24"/>
                <w:highlight w:val="yellow"/>
                <w:lang w:val="en-US" w:eastAsia="zh-CN"/>
              </w:rPr>
            </w:pPr>
            <w:r>
              <w:rPr>
                <w:rFonts w:hint="default" w:ascii="仿宋" w:hAnsi="仿宋" w:eastAsia="仿宋" w:cs="仿宋"/>
                <w:color w:val="auto"/>
                <w:sz w:val="24"/>
                <w:szCs w:val="24"/>
                <w:highlight w:val="none"/>
                <w:lang w:val="en-US" w:eastAsia="zh-CN"/>
              </w:rPr>
              <w:t>采购人</w:t>
            </w:r>
            <w:r>
              <w:rPr>
                <w:rFonts w:hint="eastAsia" w:ascii="仿宋" w:hAnsi="仿宋" w:eastAsia="仿宋" w:cs="仿宋"/>
                <w:color w:val="auto"/>
                <w:sz w:val="24"/>
                <w:szCs w:val="24"/>
                <w:highlight w:val="none"/>
                <w:lang w:val="en-US" w:eastAsia="zh-CN"/>
              </w:rPr>
              <w:t>或其委托方</w:t>
            </w:r>
            <w:r>
              <w:rPr>
                <w:rFonts w:hint="default" w:ascii="仿宋" w:hAnsi="仿宋" w:eastAsia="仿宋" w:cs="仿宋"/>
                <w:color w:val="auto"/>
                <w:sz w:val="24"/>
                <w:szCs w:val="24"/>
                <w:highlight w:val="none"/>
                <w:lang w:val="en-US" w:eastAsia="zh-CN"/>
              </w:rPr>
              <w:t>应当及时对采购项目进行</w:t>
            </w:r>
            <w:r>
              <w:rPr>
                <w:rFonts w:hint="eastAsia" w:ascii="仿宋" w:hAnsi="仿宋" w:eastAsia="仿宋" w:cs="仿宋"/>
                <w:color w:val="auto"/>
                <w:sz w:val="24"/>
                <w:szCs w:val="24"/>
                <w:highlight w:val="none"/>
                <w:lang w:val="en-US" w:eastAsia="zh-CN"/>
              </w:rPr>
              <w:t>履约</w:t>
            </w:r>
            <w:r>
              <w:rPr>
                <w:rFonts w:hint="default" w:ascii="仿宋" w:hAnsi="仿宋" w:eastAsia="仿宋" w:cs="仿宋"/>
                <w:color w:val="auto"/>
                <w:sz w:val="24"/>
                <w:szCs w:val="24"/>
                <w:highlight w:val="none"/>
                <w:lang w:val="en-US" w:eastAsia="zh-CN"/>
              </w:rPr>
              <w:t>验收。采购人可以邀请参加本项目的其他</w:t>
            </w:r>
            <w:r>
              <w:rPr>
                <w:rFonts w:hint="eastAsia" w:ascii="仿宋" w:hAnsi="仿宋" w:eastAsia="仿宋" w:cs="仿宋"/>
                <w:color w:val="auto"/>
                <w:sz w:val="24"/>
                <w:szCs w:val="24"/>
                <w:highlight w:val="none"/>
                <w:lang w:val="en-US" w:eastAsia="zh-CN"/>
              </w:rPr>
              <w:t>供应商</w:t>
            </w:r>
            <w:r>
              <w:rPr>
                <w:rFonts w:hint="default" w:ascii="仿宋" w:hAnsi="仿宋" w:eastAsia="仿宋" w:cs="仿宋"/>
                <w:color w:val="auto"/>
                <w:sz w:val="24"/>
                <w:szCs w:val="24"/>
                <w:highlight w:val="none"/>
                <w:lang w:val="en-US" w:eastAsia="zh-CN"/>
              </w:rPr>
              <w:t>或者第三方机构及专家参与</w:t>
            </w:r>
            <w:r>
              <w:rPr>
                <w:rFonts w:hint="eastAsia" w:ascii="仿宋" w:hAnsi="仿宋" w:eastAsia="仿宋" w:cs="仿宋"/>
                <w:color w:val="auto"/>
                <w:sz w:val="24"/>
                <w:szCs w:val="24"/>
                <w:highlight w:val="none"/>
                <w:lang w:val="en-US" w:eastAsia="zh-CN"/>
              </w:rPr>
              <w:t>履约</w:t>
            </w:r>
            <w:r>
              <w:rPr>
                <w:rFonts w:hint="default" w:ascii="仿宋" w:hAnsi="仿宋" w:eastAsia="仿宋" w:cs="仿宋"/>
                <w:color w:val="auto"/>
                <w:sz w:val="24"/>
                <w:szCs w:val="24"/>
                <w:highlight w:val="none"/>
                <w:lang w:val="en-US" w:eastAsia="zh-CN"/>
              </w:rPr>
              <w:t>验收</w:t>
            </w:r>
            <w:r>
              <w:rPr>
                <w:rFonts w:hint="eastAsia" w:ascii="仿宋" w:hAnsi="仿宋" w:eastAsia="仿宋" w:cs="仿宋"/>
                <w:color w:val="auto"/>
                <w:sz w:val="24"/>
                <w:szCs w:val="24"/>
                <w:highlight w:val="none"/>
                <w:lang w:val="en-US" w:eastAsia="zh-CN"/>
              </w:rPr>
              <w:t>，</w:t>
            </w:r>
            <w:r>
              <w:rPr>
                <w:rFonts w:hint="default" w:ascii="仿宋" w:hAnsi="仿宋" w:eastAsia="仿宋" w:cs="仿宋"/>
                <w:color w:val="auto"/>
                <w:sz w:val="24"/>
                <w:szCs w:val="24"/>
                <w:highlight w:val="none"/>
                <w:lang w:val="en-US" w:eastAsia="zh-CN"/>
              </w:rPr>
              <w:t>验收意见作为验收报告的参考资料一并存档。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20.3</w:t>
            </w:r>
          </w:p>
        </w:tc>
        <w:tc>
          <w:tcPr>
            <w:tcW w:w="1907" w:type="dxa"/>
            <w:tcBorders>
              <w:right w:val="single" w:color="auto" w:sz="4" w:space="0"/>
            </w:tcBorders>
            <w:vAlign w:val="center"/>
          </w:tcPr>
          <w:p>
            <w:pPr>
              <w:pStyle w:val="5"/>
              <w:keepNext w:val="0"/>
              <w:keepLines w:val="0"/>
              <w:pageBreakBefore w:val="0"/>
              <w:kinsoku/>
              <w:wordWrap/>
              <w:overflowPunct/>
              <w:topLinePunct w:val="0"/>
              <w:autoSpaceDE/>
              <w:autoSpaceDN/>
              <w:bidi w:val="0"/>
              <w:adjustRightInd/>
              <w:spacing w:before="0" w:beforeAutospacing="0" w:afterAutospacing="0" w:line="500" w:lineRule="exact"/>
              <w:ind w:left="0" w:leftChars="0"/>
              <w:jc w:val="center"/>
              <w:rPr>
                <w:rFonts w:hint="eastAsia" w:ascii="仿宋" w:hAnsi="仿宋" w:eastAsia="仿宋" w:cs="仿宋"/>
                <w:color w:val="auto"/>
                <w:sz w:val="24"/>
                <w:szCs w:val="24"/>
                <w:lang w:eastAsia="zh-CN"/>
              </w:rPr>
            </w:pPr>
            <w:r>
              <w:rPr>
                <w:rFonts w:hint="eastAsia" w:ascii="仿宋" w:hAnsi="仿宋" w:eastAsia="仿宋" w:cs="仿宋"/>
                <w:color w:val="auto"/>
                <w:kern w:val="0"/>
                <w:highlight w:val="none"/>
                <w:lang w:val="en-US" w:eastAsia="zh-CN"/>
              </w:rPr>
              <w:t>履约验收依据</w:t>
            </w:r>
          </w:p>
        </w:tc>
        <w:tc>
          <w:tcPr>
            <w:tcW w:w="6109" w:type="dxa"/>
            <w:tcBorders>
              <w:left w:val="single" w:color="auto" w:sz="4" w:space="0"/>
            </w:tcBorders>
            <w:vAlign w:val="center"/>
          </w:tcPr>
          <w:p>
            <w:pPr>
              <w:keepNext w:val="0"/>
              <w:keepLines w:val="0"/>
              <w:pageBreakBefore w:val="0"/>
              <w:numPr>
                <w:ilvl w:val="0"/>
                <w:numId w:val="0"/>
              </w:numPr>
              <w:kinsoku/>
              <w:wordWrap/>
              <w:overflowPunct/>
              <w:topLinePunct w:val="0"/>
              <w:autoSpaceDE/>
              <w:autoSpaceDN/>
              <w:bidi w:val="0"/>
              <w:adjustRightInd/>
              <w:spacing w:line="500" w:lineRule="exact"/>
              <w:ind w:left="0" w:leftChars="0" w:firstLine="0" w:firstLineChars="0"/>
              <w:rPr>
                <w:rFonts w:hint="eastAsia" w:ascii="仿宋" w:hAnsi="仿宋" w:eastAsia="仿宋" w:cs="仿宋"/>
                <w:color w:val="auto"/>
                <w:sz w:val="24"/>
                <w:szCs w:val="24"/>
                <w:highlight w:val="yellow"/>
                <w:lang w:val="en-US" w:eastAsia="zh-CN"/>
              </w:rPr>
            </w:pPr>
            <w:r>
              <w:rPr>
                <w:rFonts w:hint="eastAsia" w:ascii="仿宋" w:hAnsi="仿宋" w:eastAsia="仿宋" w:cs="仿宋"/>
                <w:color w:val="auto"/>
                <w:sz w:val="24"/>
                <w:szCs w:val="24"/>
                <w:highlight w:val="none"/>
                <w:lang w:val="en-US" w:eastAsia="zh-CN"/>
              </w:rPr>
              <w:t>履约验收主体应当按照采购合同规定的标的、技术、标准、服务内容、质量和安全等要求，组织对供应商履约情况进行验收，并出具验收报告。验收报告包括：技术、服务、安全标准等的履约情况。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20.4</w:t>
            </w:r>
          </w:p>
        </w:tc>
        <w:tc>
          <w:tcPr>
            <w:tcW w:w="1907" w:type="dxa"/>
            <w:tcBorders>
              <w:right w:val="single" w:color="auto" w:sz="4" w:space="0"/>
            </w:tcBorders>
            <w:vAlign w:val="center"/>
          </w:tcPr>
          <w:p>
            <w:pPr>
              <w:pStyle w:val="5"/>
              <w:keepNext w:val="0"/>
              <w:keepLines w:val="0"/>
              <w:pageBreakBefore w:val="0"/>
              <w:kinsoku/>
              <w:wordWrap/>
              <w:overflowPunct/>
              <w:topLinePunct w:val="0"/>
              <w:autoSpaceDE/>
              <w:autoSpaceDN/>
              <w:bidi w:val="0"/>
              <w:adjustRightInd/>
              <w:spacing w:before="0" w:beforeAutospacing="0" w:afterAutospacing="0" w:line="500" w:lineRule="exact"/>
              <w:ind w:left="0" w:leftChars="0"/>
              <w:jc w:val="center"/>
              <w:rPr>
                <w:rFonts w:hint="eastAsia" w:ascii="仿宋" w:hAnsi="仿宋" w:eastAsia="仿宋" w:cs="仿宋"/>
                <w:color w:val="auto"/>
                <w:sz w:val="24"/>
                <w:szCs w:val="24"/>
                <w:lang w:eastAsia="zh-CN"/>
              </w:rPr>
            </w:pPr>
            <w:r>
              <w:rPr>
                <w:rFonts w:hint="eastAsia" w:ascii="仿宋" w:hAnsi="仿宋" w:eastAsia="仿宋" w:cs="仿宋"/>
                <w:color w:val="auto"/>
                <w:kern w:val="0"/>
                <w:highlight w:val="none"/>
                <w:lang w:val="en-US" w:eastAsia="zh-CN"/>
              </w:rPr>
              <w:t>履约验收标准</w:t>
            </w:r>
          </w:p>
        </w:tc>
        <w:tc>
          <w:tcPr>
            <w:tcW w:w="6109" w:type="dxa"/>
            <w:tcBorders>
              <w:left w:val="single" w:color="auto" w:sz="4" w:space="0"/>
            </w:tcBorders>
            <w:vAlign w:val="center"/>
          </w:tcPr>
          <w:p>
            <w:pPr>
              <w:keepNext w:val="0"/>
              <w:keepLines w:val="0"/>
              <w:pageBreakBefore w:val="0"/>
              <w:numPr>
                <w:ilvl w:val="0"/>
                <w:numId w:val="0"/>
              </w:numPr>
              <w:kinsoku/>
              <w:wordWrap/>
              <w:overflowPunct/>
              <w:topLinePunct w:val="0"/>
              <w:autoSpaceDE/>
              <w:autoSpaceDN/>
              <w:bidi w:val="0"/>
              <w:adjustRightInd/>
              <w:spacing w:line="500" w:lineRule="exact"/>
              <w:ind w:left="0" w:leftChars="0" w:firstLine="0" w:firstLineChars="0"/>
              <w:rPr>
                <w:rFonts w:hint="eastAsia" w:ascii="仿宋" w:hAnsi="仿宋" w:eastAsia="仿宋" w:cs="仿宋"/>
                <w:color w:val="auto"/>
                <w:sz w:val="24"/>
                <w:szCs w:val="24"/>
                <w:highlight w:val="yellow"/>
                <w:lang w:val="en-US" w:eastAsia="zh-CN"/>
              </w:rPr>
            </w:pPr>
            <w:r>
              <w:rPr>
                <w:rFonts w:hint="eastAsia" w:ascii="仿宋" w:hAnsi="仿宋" w:eastAsia="仿宋" w:cs="仿宋"/>
                <w:color w:val="auto"/>
                <w:sz w:val="24"/>
                <w:szCs w:val="24"/>
                <w:highlight w:val="none"/>
                <w:lang w:val="en-US" w:eastAsia="zh-CN"/>
              </w:rPr>
              <w:t>达到国家、行业相关标准规范，满足招标要求。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21</w:t>
            </w:r>
          </w:p>
        </w:tc>
        <w:tc>
          <w:tcPr>
            <w:tcW w:w="1907" w:type="dxa"/>
            <w:tcBorders>
              <w:right w:val="single" w:color="auto" w:sz="4" w:space="0"/>
            </w:tcBorders>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eastAsia="zh-CN"/>
              </w:rPr>
              <w:t>补充事项</w:t>
            </w:r>
          </w:p>
        </w:tc>
        <w:tc>
          <w:tcPr>
            <w:tcW w:w="6109" w:type="dxa"/>
            <w:tcBorders>
              <w:left w:val="single" w:color="auto" w:sz="4" w:space="0"/>
            </w:tcBorders>
            <w:vAlign w:val="center"/>
          </w:tcPr>
          <w:p>
            <w:pPr>
              <w:keepNext w:val="0"/>
              <w:keepLines w:val="0"/>
              <w:pageBreakBefore w:val="0"/>
              <w:numPr>
                <w:ilvl w:val="0"/>
                <w:numId w:val="0"/>
              </w:numPr>
              <w:shd w:val="clear"/>
              <w:kinsoku/>
              <w:wordWrap/>
              <w:overflowPunct/>
              <w:topLinePunct w:val="0"/>
              <w:autoSpaceDE/>
              <w:autoSpaceDN/>
              <w:bidi w:val="0"/>
              <w:adjustRightInd/>
              <w:spacing w:line="500" w:lineRule="exact"/>
              <w:ind w:left="0" w:leftChars="0" w:firstLine="0" w:firstLineChars="0"/>
              <w:rPr>
                <w:rFonts w:hint="eastAsia" w:ascii="仿宋" w:hAnsi="仿宋" w:eastAsia="仿宋" w:cs="仿宋"/>
                <w:color w:val="auto"/>
                <w:sz w:val="24"/>
                <w:szCs w:val="24"/>
                <w:highlight w:val="yellow"/>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21</w:t>
            </w:r>
            <w:r>
              <w:rPr>
                <w:rFonts w:hint="eastAsia" w:ascii="仿宋" w:hAnsi="仿宋" w:eastAsia="仿宋" w:cs="仿宋"/>
                <w:color w:val="auto"/>
                <w:sz w:val="24"/>
                <w:szCs w:val="24"/>
                <w:highlight w:val="none"/>
                <w:lang w:val="en-US" w:eastAsia="zh-CN"/>
              </w:rPr>
              <w:t>.1</w:t>
            </w:r>
          </w:p>
        </w:tc>
        <w:tc>
          <w:tcPr>
            <w:tcW w:w="1907" w:type="dxa"/>
            <w:tcBorders>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500" w:lineRule="exact"/>
              <w:jc w:val="center"/>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招标文件解释权</w:t>
            </w:r>
          </w:p>
        </w:tc>
        <w:tc>
          <w:tcPr>
            <w:tcW w:w="6109" w:type="dxa"/>
            <w:tcBorders>
              <w:left w:val="single" w:color="auto" w:sz="4" w:space="0"/>
            </w:tcBorders>
            <w:vAlign w:val="center"/>
          </w:tcPr>
          <w:p>
            <w:pPr>
              <w:keepNext w:val="0"/>
              <w:keepLines w:val="0"/>
              <w:pageBreakBefore w:val="0"/>
              <w:numPr>
                <w:ilvl w:val="0"/>
                <w:numId w:val="0"/>
              </w:numPr>
              <w:kinsoku/>
              <w:wordWrap/>
              <w:overflowPunct/>
              <w:topLinePunct w:val="0"/>
              <w:autoSpaceDE/>
              <w:autoSpaceDN/>
              <w:bidi w:val="0"/>
              <w:adjustRightInd/>
              <w:snapToGrid w:val="0"/>
              <w:spacing w:line="500" w:lineRule="exact"/>
              <w:ind w:left="0" w:leftChars="0" w:firstLine="0" w:firstLineChars="0"/>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招标</w:t>
            </w:r>
            <w:r>
              <w:rPr>
                <w:rFonts w:hint="eastAsia" w:ascii="仿宋" w:hAnsi="仿宋" w:eastAsia="仿宋" w:cs="仿宋"/>
                <w:color w:val="auto"/>
                <w:sz w:val="24"/>
                <w:szCs w:val="24"/>
                <w:highlight w:val="none"/>
                <w:lang w:val="en-US" w:eastAsia="zh-CN"/>
              </w:rPr>
              <w:t>文件的解释权归采购人及代理机构所有：1）对于当事各方对</w:t>
            </w:r>
            <w:r>
              <w:rPr>
                <w:rFonts w:hint="eastAsia" w:ascii="仿宋" w:hAnsi="仿宋" w:eastAsia="仿宋" w:cs="仿宋"/>
                <w:color w:val="auto"/>
                <w:sz w:val="24"/>
                <w:szCs w:val="24"/>
                <w:lang w:val="en-US" w:eastAsia="zh-CN"/>
              </w:rPr>
              <w:t>招标</w:t>
            </w:r>
            <w:r>
              <w:rPr>
                <w:rFonts w:hint="eastAsia" w:ascii="仿宋" w:hAnsi="仿宋" w:eastAsia="仿宋" w:cs="仿宋"/>
                <w:color w:val="auto"/>
                <w:sz w:val="24"/>
                <w:szCs w:val="24"/>
                <w:highlight w:val="none"/>
                <w:lang w:val="en-US" w:eastAsia="zh-CN"/>
              </w:rPr>
              <w:t>文件发生理解偏差或歧义时，以</w:t>
            </w:r>
            <w:r>
              <w:rPr>
                <w:rFonts w:hint="eastAsia" w:ascii="仿宋" w:hAnsi="仿宋" w:eastAsia="仿宋" w:cs="仿宋"/>
                <w:color w:val="auto"/>
                <w:sz w:val="24"/>
                <w:szCs w:val="24"/>
                <w:lang w:val="en-US" w:eastAsia="zh-CN"/>
              </w:rPr>
              <w:t>招标</w:t>
            </w:r>
            <w:r>
              <w:rPr>
                <w:rFonts w:hint="eastAsia" w:ascii="仿宋" w:hAnsi="仿宋" w:eastAsia="仿宋" w:cs="仿宋"/>
                <w:color w:val="auto"/>
                <w:sz w:val="24"/>
                <w:szCs w:val="24"/>
                <w:highlight w:val="none"/>
                <w:lang w:val="en-US" w:eastAsia="zh-CN"/>
              </w:rPr>
              <w:t>文件的编制者即代理机构的释义为基本依据。2）供应商对</w:t>
            </w:r>
            <w:r>
              <w:rPr>
                <w:rFonts w:hint="eastAsia" w:ascii="仿宋" w:hAnsi="仿宋" w:eastAsia="仿宋" w:cs="仿宋"/>
                <w:color w:val="auto"/>
                <w:sz w:val="24"/>
                <w:szCs w:val="24"/>
                <w:lang w:val="en-US" w:eastAsia="zh-CN"/>
              </w:rPr>
              <w:t>招标文件的自主理解、推测、主观认为、随意臆造等造成的不利后果自负。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21.2</w:t>
            </w:r>
          </w:p>
        </w:tc>
        <w:tc>
          <w:tcPr>
            <w:tcW w:w="1907" w:type="dxa"/>
            <w:vAlign w:val="center"/>
          </w:tcPr>
          <w:p>
            <w:pPr>
              <w:keepNext w:val="0"/>
              <w:keepLines w:val="0"/>
              <w:pageBreakBefore w:val="0"/>
              <w:kinsoku/>
              <w:wordWrap/>
              <w:overflowPunct/>
              <w:topLinePunct w:val="0"/>
              <w:autoSpaceDE/>
              <w:autoSpaceDN/>
              <w:bidi w:val="0"/>
              <w:adjustRightInd/>
              <w:snapToGrid w:val="0"/>
              <w:spacing w:line="500" w:lineRule="exact"/>
              <w:jc w:val="center"/>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符号含义</w:t>
            </w:r>
          </w:p>
        </w:tc>
        <w:tc>
          <w:tcPr>
            <w:tcW w:w="6109" w:type="dxa"/>
            <w:vAlign w:val="center"/>
          </w:tcPr>
          <w:p>
            <w:pPr>
              <w:keepNext w:val="0"/>
              <w:keepLines w:val="0"/>
              <w:pageBreakBefore w:val="0"/>
              <w:kinsoku/>
              <w:wordWrap/>
              <w:overflowPunct/>
              <w:topLinePunct w:val="0"/>
              <w:autoSpaceDE/>
              <w:autoSpaceDN/>
              <w:bidi w:val="0"/>
              <w:adjustRightInd/>
              <w:snapToGrid w:val="0"/>
              <w:spacing w:line="500" w:lineRule="exact"/>
              <w:textAlignment w:val="baseline"/>
              <w:rPr>
                <w:rFonts w:hint="eastAsia" w:ascii="仿宋" w:hAnsi="仿宋" w:eastAsia="仿宋" w:cs="仿宋"/>
                <w:b w:val="0"/>
                <w:bCs w:val="0"/>
                <w:color w:val="auto"/>
                <w:kern w:val="2"/>
                <w:sz w:val="24"/>
                <w:szCs w:val="24"/>
                <w:lang w:val="en-US" w:eastAsia="zh-CN" w:bidi="ar-SA"/>
              </w:rPr>
            </w:pPr>
            <w:r>
              <w:rPr>
                <w:rFonts w:hint="eastAsia" w:ascii="仿宋" w:hAnsi="仿宋" w:eastAsia="仿宋" w:cs="仿宋"/>
                <w:color w:val="auto"/>
                <w:sz w:val="24"/>
                <w:szCs w:val="24"/>
                <w:highlight w:val="none"/>
                <w:lang w:val="en-US" w:eastAsia="zh-CN"/>
              </w:rPr>
              <w:t>“★”为实质性条款；“</w:t>
            </w:r>
            <w:r>
              <w:rPr>
                <w:rFonts w:hint="eastAsia" w:ascii="仿宋" w:hAnsi="仿宋" w:eastAsia="仿宋" w:cs="仿宋"/>
                <w:b/>
                <w:bCs/>
                <w:color w:val="auto"/>
                <w:sz w:val="24"/>
                <w:szCs w:val="24"/>
                <w:highlight w:val="none"/>
                <w:lang w:val="en-US" w:eastAsia="zh-CN"/>
              </w:rPr>
              <w:t>#</w:t>
            </w:r>
            <w:r>
              <w:rPr>
                <w:rFonts w:hint="eastAsia" w:ascii="仿宋" w:hAnsi="仿宋" w:eastAsia="仿宋" w:cs="仿宋"/>
                <w:color w:val="auto"/>
                <w:sz w:val="24"/>
                <w:szCs w:val="24"/>
                <w:highlight w:val="none"/>
                <w:lang w:val="en-US" w:eastAsia="zh-CN"/>
              </w:rPr>
              <w:t>”为核心产品；“</w:t>
            </w:r>
            <w:r>
              <w:rPr>
                <w:rFonts w:hint="eastAsia" w:ascii="仿宋_GB2312" w:hAnsi="仿宋_GB2312" w:eastAsia="仿宋_GB2312" w:cs="仿宋_GB2312"/>
                <w:b/>
                <w:bCs/>
                <w:lang w:val="en-US" w:eastAsia="zh-CN"/>
              </w:rPr>
              <w:t>◎</w:t>
            </w:r>
            <w:r>
              <w:rPr>
                <w:rFonts w:hint="eastAsia" w:ascii="仿宋" w:hAnsi="仿宋" w:eastAsia="仿宋" w:cs="仿宋"/>
                <w:color w:val="auto"/>
                <w:sz w:val="24"/>
                <w:szCs w:val="24"/>
                <w:highlight w:val="none"/>
                <w:lang w:val="en-US" w:eastAsia="zh-CN"/>
              </w:rPr>
              <w:t>”为环境标志产品。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21.3</w:t>
            </w:r>
          </w:p>
        </w:tc>
        <w:tc>
          <w:tcPr>
            <w:tcW w:w="1907" w:type="dxa"/>
            <w:vAlign w:val="center"/>
          </w:tcPr>
          <w:p>
            <w:pPr>
              <w:keepNext w:val="0"/>
              <w:keepLines w:val="0"/>
              <w:pageBreakBefore w:val="0"/>
              <w:kinsoku/>
              <w:wordWrap/>
              <w:overflowPunct/>
              <w:topLinePunct w:val="0"/>
              <w:autoSpaceDE/>
              <w:autoSpaceDN/>
              <w:bidi w:val="0"/>
              <w:adjustRightInd/>
              <w:snapToGrid w:val="0"/>
              <w:spacing w:line="500" w:lineRule="exact"/>
              <w:jc w:val="center"/>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约定</w:t>
            </w:r>
          </w:p>
        </w:tc>
        <w:tc>
          <w:tcPr>
            <w:tcW w:w="6109" w:type="dxa"/>
            <w:vAlign w:val="center"/>
          </w:tcPr>
          <w:p>
            <w:pPr>
              <w:keepNext w:val="0"/>
              <w:keepLines w:val="0"/>
              <w:pageBreakBefore w:val="0"/>
              <w:numPr>
                <w:ilvl w:val="0"/>
                <w:numId w:val="3"/>
              </w:numPr>
              <w:kinsoku/>
              <w:wordWrap/>
              <w:overflowPunct/>
              <w:topLinePunct w:val="0"/>
              <w:autoSpaceDE/>
              <w:autoSpaceDN/>
              <w:bidi w:val="0"/>
              <w:adjustRightInd/>
              <w:spacing w:beforeAutospacing="0" w:afterAutospacing="0" w:line="500" w:lineRule="exact"/>
              <w:jc w:val="both"/>
              <w:rPr>
                <w:rFonts w:hint="eastAsia" w:ascii="仿宋" w:hAnsi="仿宋" w:eastAsia="仿宋" w:cs="仿宋"/>
                <w:b w:val="0"/>
                <w:bCs w:val="0"/>
                <w:color w:val="auto"/>
                <w:kern w:val="2"/>
                <w:sz w:val="24"/>
                <w:szCs w:val="24"/>
                <w:lang w:val="en-US" w:eastAsia="zh-CN" w:bidi="ar-SA"/>
              </w:rPr>
            </w:pPr>
            <w:r>
              <w:rPr>
                <w:rFonts w:hint="eastAsia" w:ascii="仿宋" w:hAnsi="仿宋" w:eastAsia="仿宋" w:cs="仿宋"/>
                <w:b w:val="0"/>
                <w:bCs w:val="0"/>
                <w:color w:val="auto"/>
                <w:kern w:val="2"/>
                <w:sz w:val="24"/>
                <w:szCs w:val="24"/>
                <w:lang w:val="en-US" w:eastAsia="zh-CN" w:bidi="ar-SA"/>
              </w:rPr>
              <w:t>对质量、技术、资质要求或约定不明确的，应首先按照国家强制性标准要求执行，其次需符合国家推荐性标准、行业/地方标准以及满足合同目的的特定标准。</w:t>
            </w:r>
          </w:p>
          <w:p>
            <w:pPr>
              <w:keepNext w:val="0"/>
              <w:keepLines w:val="0"/>
              <w:pageBreakBefore w:val="0"/>
              <w:tabs>
                <w:tab w:val="left" w:pos="0"/>
              </w:tabs>
              <w:kinsoku/>
              <w:wordWrap/>
              <w:overflowPunct/>
              <w:topLinePunct w:val="0"/>
              <w:autoSpaceDE/>
              <w:autoSpaceDN/>
              <w:bidi w:val="0"/>
              <w:adjustRightInd/>
              <w:spacing w:line="500" w:lineRule="exact"/>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lang w:eastAsia="zh-CN"/>
              </w:rPr>
              <w:t>本</w:t>
            </w:r>
            <w:r>
              <w:rPr>
                <w:rFonts w:hint="eastAsia" w:ascii="仿宋" w:hAnsi="仿宋" w:eastAsia="仿宋" w:cs="仿宋"/>
                <w:color w:val="auto"/>
                <w:sz w:val="24"/>
                <w:szCs w:val="24"/>
                <w:lang w:val="en-US" w:eastAsia="zh-CN"/>
              </w:rPr>
              <w:t>招标</w:t>
            </w:r>
            <w:r>
              <w:rPr>
                <w:rFonts w:hint="eastAsia" w:ascii="仿宋" w:hAnsi="仿宋" w:eastAsia="仿宋" w:cs="仿宋"/>
                <w:color w:val="auto"/>
                <w:sz w:val="24"/>
                <w:szCs w:val="24"/>
                <w:lang w:eastAsia="zh-CN"/>
              </w:rPr>
              <w:t>文件所拟订的技术为基本</w:t>
            </w:r>
            <w:r>
              <w:rPr>
                <w:rFonts w:hint="eastAsia" w:ascii="仿宋" w:hAnsi="仿宋" w:eastAsia="仿宋" w:cs="仿宋"/>
                <w:color w:val="auto"/>
                <w:sz w:val="24"/>
                <w:szCs w:val="24"/>
                <w:lang w:val="en-US" w:eastAsia="zh-CN"/>
              </w:rPr>
              <w:t>/主要</w:t>
            </w:r>
            <w:r>
              <w:rPr>
                <w:rFonts w:hint="eastAsia" w:ascii="仿宋" w:hAnsi="仿宋" w:eastAsia="仿宋" w:cs="仿宋"/>
                <w:color w:val="auto"/>
                <w:sz w:val="24"/>
                <w:szCs w:val="24"/>
                <w:lang w:eastAsia="zh-CN"/>
              </w:rPr>
              <w:t>技术要求，并未对一切技术细节做出规定，也未充分引述有关标准和规范条文，</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lang w:eastAsia="zh-CN"/>
              </w:rPr>
              <w:t>所提供的货物、服务、性能和功能应不低于本文件条款的要求，并应按本</w:t>
            </w:r>
            <w:r>
              <w:rPr>
                <w:rFonts w:hint="eastAsia" w:ascii="仿宋" w:hAnsi="仿宋" w:eastAsia="仿宋" w:cs="仿宋"/>
                <w:color w:val="auto"/>
                <w:sz w:val="24"/>
                <w:szCs w:val="24"/>
                <w:lang w:val="en-US" w:eastAsia="zh-CN"/>
              </w:rPr>
              <w:t>招标</w:t>
            </w:r>
            <w:r>
              <w:rPr>
                <w:rFonts w:hint="eastAsia" w:ascii="仿宋" w:hAnsi="仿宋" w:eastAsia="仿宋" w:cs="仿宋"/>
                <w:color w:val="auto"/>
                <w:sz w:val="24"/>
                <w:szCs w:val="24"/>
                <w:lang w:eastAsia="zh-CN"/>
              </w:rPr>
              <w:t>文件的要求提交符合本技术要求规定及与项目有关的完整的技术方案。</w:t>
            </w:r>
          </w:p>
          <w:p>
            <w:pPr>
              <w:keepNext w:val="0"/>
              <w:keepLines w:val="0"/>
              <w:pageBreakBefore w:val="0"/>
              <w:tabs>
                <w:tab w:val="left" w:pos="0"/>
              </w:tabs>
              <w:kinsoku/>
              <w:wordWrap/>
              <w:overflowPunct/>
              <w:topLinePunct w:val="0"/>
              <w:autoSpaceDE/>
              <w:autoSpaceDN/>
              <w:bidi w:val="0"/>
              <w:adjustRightInd/>
              <w:spacing w:line="500" w:lineRule="exact"/>
              <w:ind w:firstLine="240" w:firstLineChars="1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供应商提供的货物</w:t>
            </w:r>
            <w:r>
              <w:rPr>
                <w:rFonts w:hint="eastAsia" w:ascii="仿宋" w:hAnsi="仿宋" w:eastAsia="仿宋" w:cs="仿宋"/>
                <w:color w:val="auto"/>
                <w:sz w:val="24"/>
                <w:szCs w:val="24"/>
                <w:lang w:val="en-US" w:eastAsia="zh-CN"/>
              </w:rPr>
              <w:t>必须是全新的、证件齐全的正品货物，提供的货物</w:t>
            </w:r>
            <w:r>
              <w:rPr>
                <w:rFonts w:hint="eastAsia" w:ascii="仿宋" w:hAnsi="仿宋" w:eastAsia="仿宋" w:cs="仿宋"/>
                <w:color w:val="auto"/>
                <w:sz w:val="24"/>
                <w:szCs w:val="24"/>
                <w:lang w:eastAsia="zh-CN"/>
              </w:rPr>
              <w:t>及服务</w:t>
            </w:r>
            <w:r>
              <w:rPr>
                <w:rFonts w:hint="eastAsia" w:ascii="仿宋" w:hAnsi="仿宋" w:eastAsia="仿宋" w:cs="仿宋"/>
                <w:color w:val="auto"/>
                <w:sz w:val="24"/>
                <w:szCs w:val="24"/>
                <w:highlight w:val="none"/>
              </w:rPr>
              <w:t>必须是符合招标文件规定技术要求，并保证使用方在资源使用期间不受第三方提出侵犯其专利权、商标权和设计权等类似的起诉。</w:t>
            </w:r>
          </w:p>
          <w:p>
            <w:pPr>
              <w:keepNext w:val="0"/>
              <w:keepLines w:val="0"/>
              <w:pageBreakBefore w:val="0"/>
              <w:tabs>
                <w:tab w:val="left" w:pos="0"/>
              </w:tabs>
              <w:kinsoku/>
              <w:wordWrap/>
              <w:overflowPunct/>
              <w:topLinePunct w:val="0"/>
              <w:autoSpaceDE/>
              <w:autoSpaceDN/>
              <w:bidi w:val="0"/>
              <w:adjustRightInd/>
              <w:spacing w:line="500" w:lineRule="exact"/>
              <w:ind w:firstLine="240" w:firstLineChars="100"/>
              <w:jc w:val="left"/>
              <w:rPr>
                <w:rFonts w:hint="eastAsia" w:ascii="仿宋" w:hAnsi="仿宋" w:eastAsia="仿宋" w:cs="仿宋"/>
                <w:b w:val="0"/>
                <w:bCs w:val="0"/>
                <w:color w:val="auto"/>
                <w:kern w:val="2"/>
                <w:sz w:val="24"/>
                <w:szCs w:val="24"/>
                <w:lang w:val="en-US" w:eastAsia="zh-CN" w:bidi="ar-SA"/>
              </w:rPr>
            </w:pP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供应商必须保证所提供</w:t>
            </w:r>
            <w:r>
              <w:rPr>
                <w:rFonts w:hint="eastAsia" w:ascii="仿宋" w:hAnsi="仿宋" w:eastAsia="仿宋" w:cs="仿宋"/>
                <w:color w:val="auto"/>
                <w:sz w:val="24"/>
                <w:szCs w:val="24"/>
                <w:highlight w:val="none"/>
                <w:lang w:val="en-US" w:eastAsia="zh-CN"/>
              </w:rPr>
              <w:t>货物、服务等的</w:t>
            </w:r>
            <w:r>
              <w:rPr>
                <w:rFonts w:hint="eastAsia" w:ascii="仿宋" w:hAnsi="仿宋" w:eastAsia="仿宋" w:cs="仿宋"/>
                <w:color w:val="auto"/>
                <w:sz w:val="24"/>
                <w:szCs w:val="24"/>
                <w:highlight w:val="none"/>
              </w:rPr>
              <w:t>质量</w:t>
            </w:r>
            <w:r>
              <w:rPr>
                <w:rFonts w:hint="eastAsia" w:ascii="仿宋" w:hAnsi="仿宋" w:eastAsia="仿宋" w:cs="仿宋"/>
                <w:color w:val="auto"/>
                <w:sz w:val="24"/>
                <w:szCs w:val="24"/>
                <w:highlight w:val="none"/>
                <w:lang w:val="en-US" w:eastAsia="zh-CN"/>
              </w:rPr>
              <w:t>满足国家或行业现行法律法规及相关规章和招标要求</w:t>
            </w:r>
            <w:r>
              <w:rPr>
                <w:rFonts w:hint="eastAsia" w:ascii="仿宋" w:hAnsi="仿宋" w:eastAsia="仿宋" w:cs="仿宋"/>
                <w:color w:val="auto"/>
                <w:sz w:val="24"/>
                <w:szCs w:val="24"/>
                <w:highlight w:val="none"/>
              </w:rPr>
              <w:t>，并且承担所有在合同中指定的责任和义务。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21.4</w:t>
            </w:r>
          </w:p>
        </w:tc>
        <w:tc>
          <w:tcPr>
            <w:tcW w:w="1907" w:type="dxa"/>
            <w:vAlign w:val="center"/>
          </w:tcPr>
          <w:p>
            <w:pPr>
              <w:keepNext w:val="0"/>
              <w:keepLines w:val="0"/>
              <w:pageBreakBefore w:val="0"/>
              <w:kinsoku/>
              <w:wordWrap/>
              <w:overflowPunct/>
              <w:topLinePunct w:val="0"/>
              <w:autoSpaceDE/>
              <w:autoSpaceDN/>
              <w:bidi w:val="0"/>
              <w:adjustRightInd/>
              <w:snapToGrid w:val="0"/>
              <w:spacing w:line="500" w:lineRule="exact"/>
              <w:jc w:val="center"/>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虚假材料</w:t>
            </w:r>
          </w:p>
        </w:tc>
        <w:tc>
          <w:tcPr>
            <w:tcW w:w="6109"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在政府采购活动中，《中华人民共和国政府采购法》第七十七条所称"虚假材料"指伪造、篡改或变造、涂改的技术参数检测报告、各种证件、证书，虚假的采购合同、相关业绩，虚假的社保证明、工作证明、财务资信证明、人员简历、劳动关系证明等，还包括与客观事实不相符的委托书、授权书或承诺函等。"虚假材料"中的"虚假"是指材料的真实性而非有效性，虚假材料不能等同于无效材料。</w:t>
            </w:r>
          </w:p>
          <w:p>
            <w:pPr>
              <w:keepNext w:val="0"/>
              <w:keepLines w:val="0"/>
              <w:pageBreakBefore w:val="0"/>
              <w:kinsoku/>
              <w:wordWrap/>
              <w:overflowPunct/>
              <w:topLinePunct w:val="0"/>
              <w:autoSpaceDE/>
              <w:autoSpaceDN/>
              <w:bidi w:val="0"/>
              <w:adjustRightInd/>
              <w:spacing w:beforeAutospacing="0" w:afterAutospacing="0" w:line="500" w:lineRule="exact"/>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2.对政策理解错误或概念不清而导致的错误、笔误、计算错误以及</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highlight w:val="none"/>
                <w:lang w:val="en-US" w:eastAsia="zh-CN"/>
              </w:rPr>
              <w:t>提供的已逾期的证书、未年审的证书等不能认定为虚假材料。</w:t>
            </w:r>
          </w:p>
          <w:p>
            <w:pPr>
              <w:keepNext w:val="0"/>
              <w:keepLines w:val="0"/>
              <w:pageBreakBefore w:val="0"/>
              <w:kinsoku/>
              <w:wordWrap/>
              <w:overflowPunct/>
              <w:topLinePunct w:val="0"/>
              <w:autoSpaceDE/>
              <w:autoSpaceDN/>
              <w:bidi w:val="0"/>
              <w:adjustRightInd/>
              <w:spacing w:beforeAutospacing="0" w:afterAutospacing="0" w:line="500" w:lineRule="exact"/>
              <w:jc w:val="both"/>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3.对提供虚假材料谋取中标（成交）的认定，应该同时满足主观和客观两个方面的构成要件，要结合有关的证据材料和供应商篡改、伪造或变造、捏造事实以及该行为的目的性、危害后果等方面由</w:t>
            </w:r>
            <w:r>
              <w:rPr>
                <w:rFonts w:hint="eastAsia" w:ascii="仿宋" w:hAnsi="仿宋" w:eastAsia="仿宋" w:cs="仿宋"/>
                <w:color w:val="auto"/>
                <w:sz w:val="24"/>
                <w:szCs w:val="24"/>
                <w:lang w:val="en-US" w:eastAsia="zh-CN"/>
              </w:rPr>
              <w:t>监管部门</w:t>
            </w:r>
            <w:r>
              <w:rPr>
                <w:rFonts w:hint="eastAsia" w:ascii="仿宋" w:hAnsi="仿宋" w:eastAsia="仿宋" w:cs="仿宋"/>
                <w:color w:val="auto"/>
                <w:sz w:val="24"/>
                <w:szCs w:val="24"/>
                <w:highlight w:val="none"/>
                <w:lang w:val="en-US" w:eastAsia="zh-CN"/>
              </w:rPr>
              <w:t>进行综合考量和判断。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jc w:val="center"/>
              <w:textAlignment w:val="auto"/>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21.5</w:t>
            </w:r>
          </w:p>
        </w:tc>
        <w:tc>
          <w:tcPr>
            <w:tcW w:w="1907" w:type="dxa"/>
            <w:vAlign w:val="center"/>
          </w:tcPr>
          <w:p>
            <w:pPr>
              <w:keepNext w:val="0"/>
              <w:keepLines w:val="0"/>
              <w:pageBreakBefore w:val="0"/>
              <w:kinsoku/>
              <w:wordWrap/>
              <w:overflowPunct/>
              <w:topLinePunct w:val="0"/>
              <w:autoSpaceDE/>
              <w:autoSpaceDN/>
              <w:bidi w:val="0"/>
              <w:adjustRightInd/>
              <w:snapToGrid w:val="0"/>
              <w:spacing w:line="500" w:lineRule="exact"/>
              <w:jc w:val="center"/>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无效资料</w:t>
            </w:r>
          </w:p>
        </w:tc>
        <w:tc>
          <w:tcPr>
            <w:tcW w:w="6109" w:type="dxa"/>
            <w:vAlign w:val="center"/>
          </w:tcPr>
          <w:p>
            <w:pPr>
              <w:keepNext w:val="0"/>
              <w:keepLines w:val="0"/>
              <w:pageBreakBefore w:val="0"/>
              <w:widowControl/>
              <w:kinsoku/>
              <w:wordWrap/>
              <w:overflowPunct/>
              <w:topLinePunct w:val="0"/>
              <w:autoSpaceDE/>
              <w:autoSpaceDN/>
              <w:bidi w:val="0"/>
              <w:adjustRightInd/>
              <w:spacing w:beforeAutospacing="0" w:afterAutospacing="0" w:line="500" w:lineRule="exact"/>
              <w:jc w:val="both"/>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真实存在，但不符合招标文件相关要求的文件资料。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jc w:val="center"/>
              <w:textAlignment w:val="auto"/>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21.6</w:t>
            </w:r>
          </w:p>
        </w:tc>
        <w:tc>
          <w:tcPr>
            <w:tcW w:w="1907" w:type="dxa"/>
            <w:vAlign w:val="center"/>
          </w:tcPr>
          <w:p>
            <w:pPr>
              <w:keepNext w:val="0"/>
              <w:keepLines w:val="0"/>
              <w:pageBreakBefore w:val="0"/>
              <w:kinsoku/>
              <w:wordWrap/>
              <w:overflowPunct/>
              <w:topLinePunct w:val="0"/>
              <w:autoSpaceDE/>
              <w:autoSpaceDN/>
              <w:bidi w:val="0"/>
              <w:adjustRightInd/>
              <w:snapToGrid w:val="0"/>
              <w:spacing w:line="500" w:lineRule="exact"/>
              <w:jc w:val="center"/>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文件异常一致</w:t>
            </w:r>
          </w:p>
        </w:tc>
        <w:tc>
          <w:tcPr>
            <w:tcW w:w="6109" w:type="dxa"/>
            <w:vAlign w:val="center"/>
          </w:tcPr>
          <w:p>
            <w:pPr>
              <w:keepNext w:val="0"/>
              <w:keepLines w:val="0"/>
              <w:pageBreakBefore w:val="0"/>
              <w:widowControl/>
              <w:kinsoku/>
              <w:wordWrap/>
              <w:overflowPunct/>
              <w:topLinePunct w:val="0"/>
              <w:autoSpaceDE/>
              <w:autoSpaceDN/>
              <w:bidi w:val="0"/>
              <w:adjustRightInd/>
              <w:spacing w:beforeAutospacing="0" w:afterAutospacing="0" w:line="500" w:lineRule="exact"/>
              <w:jc w:val="both"/>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指极小概率或者完全不可能一致的内容在不同投标文件中同时出现（如</w:t>
            </w:r>
            <w:r>
              <w:rPr>
                <w:rFonts w:hint="eastAsia" w:ascii="仿宋" w:hAnsi="仿宋" w:eastAsia="仿宋" w:cs="仿宋"/>
                <w:strike w:val="0"/>
                <w:dstrike w:val="0"/>
                <w:color w:val="auto"/>
                <w:sz w:val="24"/>
                <w:szCs w:val="24"/>
                <w:highlight w:val="none"/>
                <w:lang w:val="en-US" w:eastAsia="zh-CN"/>
              </w:rPr>
              <w:t>投标</w:t>
            </w:r>
            <w:r>
              <w:rPr>
                <w:rFonts w:hint="eastAsia" w:ascii="仿宋" w:hAnsi="仿宋" w:eastAsia="仿宋" w:cs="仿宋"/>
                <w:color w:val="auto"/>
                <w:sz w:val="24"/>
                <w:szCs w:val="24"/>
                <w:lang w:val="en-US" w:eastAsia="zh-CN"/>
              </w:rPr>
              <w:t>文件错误的内容雷同；由供应商自行编制的格式或自行编写的方案异常一致；属于某一供应商特有的业绩、编号、标识等在其他</w:t>
            </w:r>
            <w:r>
              <w:rPr>
                <w:rFonts w:hint="eastAsia" w:ascii="仿宋" w:hAnsi="仿宋" w:eastAsia="仿宋" w:cs="仿宋"/>
                <w:strike w:val="0"/>
                <w:dstrike w:val="0"/>
                <w:color w:val="auto"/>
                <w:sz w:val="24"/>
                <w:szCs w:val="24"/>
                <w:highlight w:val="none"/>
                <w:lang w:val="en-US" w:eastAsia="zh-CN"/>
              </w:rPr>
              <w:t>投标</w:t>
            </w:r>
            <w:r>
              <w:rPr>
                <w:rFonts w:hint="eastAsia" w:ascii="仿宋" w:hAnsi="仿宋" w:eastAsia="仿宋" w:cs="仿宋"/>
                <w:color w:val="auto"/>
                <w:sz w:val="24"/>
                <w:szCs w:val="24"/>
                <w:lang w:val="en-US" w:eastAsia="zh-CN"/>
              </w:rPr>
              <w:t>文件中同时出现等情形）。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jc w:val="center"/>
              <w:textAlignment w:val="auto"/>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21.7</w:t>
            </w:r>
          </w:p>
        </w:tc>
        <w:tc>
          <w:tcPr>
            <w:tcW w:w="1907"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文件相互混装</w:t>
            </w:r>
          </w:p>
        </w:tc>
        <w:tc>
          <w:tcPr>
            <w:tcW w:w="6109" w:type="dxa"/>
            <w:vAlign w:val="center"/>
          </w:tcPr>
          <w:p>
            <w:pPr>
              <w:keepNext w:val="0"/>
              <w:keepLines w:val="0"/>
              <w:pageBreakBefore w:val="0"/>
              <w:widowControl/>
              <w:kinsoku/>
              <w:wordWrap/>
              <w:overflowPunct/>
              <w:topLinePunct w:val="0"/>
              <w:autoSpaceDE/>
              <w:autoSpaceDN/>
              <w:bidi w:val="0"/>
              <w:adjustRightInd/>
              <w:spacing w:beforeAutospacing="0" w:afterAutospacing="0" w:line="500" w:lineRule="exact"/>
              <w:jc w:val="both"/>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指一家投标文件中装有本项目其他投标单位（指提交了投标文件的单位）的投标资料即为混装（并非仅指双方互有混装的情形）。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jc w:val="center"/>
              <w:textAlignment w:val="auto"/>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21.8</w:t>
            </w:r>
          </w:p>
        </w:tc>
        <w:tc>
          <w:tcPr>
            <w:tcW w:w="1907" w:type="dxa"/>
            <w:vAlign w:val="center"/>
          </w:tcPr>
          <w:p>
            <w:pPr>
              <w:keepNext w:val="0"/>
              <w:keepLines w:val="0"/>
              <w:pageBreakBefore w:val="0"/>
              <w:kinsoku/>
              <w:wordWrap/>
              <w:overflowPunct/>
              <w:topLinePunct w:val="0"/>
              <w:autoSpaceDE/>
              <w:autoSpaceDN/>
              <w:bidi w:val="0"/>
              <w:adjustRightInd/>
              <w:snapToGrid w:val="0"/>
              <w:spacing w:line="500" w:lineRule="exact"/>
              <w:jc w:val="center"/>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报价规律性</w:t>
            </w:r>
          </w:p>
        </w:tc>
        <w:tc>
          <w:tcPr>
            <w:tcW w:w="6109" w:type="dxa"/>
            <w:vAlign w:val="center"/>
          </w:tcPr>
          <w:p>
            <w:pPr>
              <w:keepNext w:val="0"/>
              <w:keepLines w:val="0"/>
              <w:pageBreakBefore w:val="0"/>
              <w:widowControl/>
              <w:kinsoku/>
              <w:wordWrap/>
              <w:overflowPunct/>
              <w:topLinePunct w:val="0"/>
              <w:autoSpaceDE/>
              <w:autoSpaceDN/>
              <w:bidi w:val="0"/>
              <w:adjustRightInd/>
              <w:spacing w:beforeAutospacing="0" w:afterAutospacing="0" w:line="500" w:lineRule="exact"/>
              <w:jc w:val="both"/>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指投标报价呈现等差或等比数列趋势变化；分项报价完全一致或某些分项价格呈现规律性提高或降低等情形。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jc w:val="center"/>
              <w:textAlignment w:val="auto"/>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21.9</w:t>
            </w:r>
          </w:p>
        </w:tc>
        <w:tc>
          <w:tcPr>
            <w:tcW w:w="1907" w:type="dxa"/>
            <w:vAlign w:val="center"/>
          </w:tcPr>
          <w:p>
            <w:pPr>
              <w:keepNext w:val="0"/>
              <w:keepLines w:val="0"/>
              <w:pageBreakBefore w:val="0"/>
              <w:kinsoku/>
              <w:wordWrap/>
              <w:overflowPunct/>
              <w:topLinePunct w:val="0"/>
              <w:autoSpaceDE/>
              <w:autoSpaceDN/>
              <w:bidi w:val="0"/>
              <w:adjustRightInd/>
              <w:snapToGrid w:val="0"/>
              <w:spacing w:line="500" w:lineRule="exact"/>
              <w:jc w:val="center"/>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印章使用</w:t>
            </w:r>
          </w:p>
        </w:tc>
        <w:tc>
          <w:tcPr>
            <w:tcW w:w="6109" w:type="dxa"/>
            <w:vAlign w:val="center"/>
          </w:tcPr>
          <w:p>
            <w:pPr>
              <w:keepNext w:val="0"/>
              <w:keepLines w:val="0"/>
              <w:pageBreakBefore w:val="0"/>
              <w:widowControl/>
              <w:kinsoku/>
              <w:wordWrap/>
              <w:overflowPunct/>
              <w:topLinePunct w:val="0"/>
              <w:autoSpaceDE/>
              <w:autoSpaceDN/>
              <w:bidi w:val="0"/>
              <w:adjustRightInd/>
              <w:spacing w:beforeAutospacing="0" w:afterAutospacing="0" w:line="500" w:lineRule="exact"/>
              <w:jc w:val="both"/>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投标使用的单位印章均指电子签章。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jc w:val="center"/>
              <w:textAlignment w:val="auto"/>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21.10</w:t>
            </w:r>
          </w:p>
        </w:tc>
        <w:tc>
          <w:tcPr>
            <w:tcW w:w="1907" w:type="dxa"/>
            <w:vAlign w:val="center"/>
          </w:tcPr>
          <w:p>
            <w:pPr>
              <w:keepNext w:val="0"/>
              <w:keepLines w:val="0"/>
              <w:pageBreakBefore w:val="0"/>
              <w:kinsoku/>
              <w:wordWrap/>
              <w:overflowPunct/>
              <w:topLinePunct w:val="0"/>
              <w:autoSpaceDE/>
              <w:autoSpaceDN/>
              <w:bidi w:val="0"/>
              <w:adjustRightInd/>
              <w:snapToGrid w:val="0"/>
              <w:spacing w:line="500" w:lineRule="exact"/>
              <w:jc w:val="center"/>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投标风险</w:t>
            </w:r>
          </w:p>
        </w:tc>
        <w:tc>
          <w:tcPr>
            <w:tcW w:w="6109" w:type="dxa"/>
            <w:vAlign w:val="center"/>
          </w:tcPr>
          <w:p>
            <w:pPr>
              <w:keepNext w:val="0"/>
              <w:keepLines w:val="0"/>
              <w:pageBreakBefore w:val="0"/>
              <w:widowControl/>
              <w:numPr>
                <w:ilvl w:val="0"/>
                <w:numId w:val="0"/>
              </w:numPr>
              <w:kinsoku/>
              <w:wordWrap/>
              <w:overflowPunct/>
              <w:topLinePunct w:val="0"/>
              <w:autoSpaceDE/>
              <w:autoSpaceDN/>
              <w:bidi w:val="0"/>
              <w:adjustRightInd/>
              <w:spacing w:beforeAutospacing="0" w:afterAutospacing="0" w:line="500" w:lineRule="exact"/>
              <w:jc w:val="both"/>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无论投标结果如何，供应商应自行承担参与本项目发生的所有费用和应担风险。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jc w:val="center"/>
              <w:textAlignment w:val="auto"/>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21.11</w:t>
            </w:r>
          </w:p>
        </w:tc>
        <w:tc>
          <w:tcPr>
            <w:tcW w:w="1907"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highlight w:val="none"/>
                <w:lang w:val="en-US" w:eastAsia="zh-CN"/>
              </w:rPr>
              <w:t>正当理由</w:t>
            </w:r>
          </w:p>
        </w:tc>
        <w:tc>
          <w:tcPr>
            <w:tcW w:w="6109"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是指不可抗力</w:t>
            </w:r>
            <w:r>
              <w:rPr>
                <w:rFonts w:hint="eastAsia" w:ascii="仿宋" w:hAnsi="仿宋" w:eastAsia="仿宋" w:cs="仿宋"/>
                <w:color w:val="auto"/>
                <w:sz w:val="24"/>
                <w:szCs w:val="24"/>
                <w:lang w:val="en-US" w:eastAsia="zh-CN"/>
              </w:rPr>
              <w:t>（指不能预见、不能避免、不能克服的客观情况）：</w:t>
            </w:r>
            <w:r>
              <w:rPr>
                <w:rFonts w:hint="eastAsia" w:ascii="仿宋" w:hAnsi="仿宋" w:eastAsia="仿宋" w:cs="仿宋"/>
                <w:color w:val="auto"/>
                <w:sz w:val="24"/>
                <w:szCs w:val="24"/>
                <w:highlight w:val="none"/>
                <w:lang w:val="en-US" w:eastAsia="zh-CN"/>
              </w:rPr>
              <w:t>一是自然灾害，例如地震、台风、洪水等；二是某些政府行为，例如政府颁布新政策、法律和采取行政措施；三是社会异常事件，例如罢工、战争等。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jc w:val="center"/>
              <w:textAlignment w:val="auto"/>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21.12</w:t>
            </w:r>
          </w:p>
        </w:tc>
        <w:tc>
          <w:tcPr>
            <w:tcW w:w="1907"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highlight w:val="none"/>
                <w:lang w:val="en-US" w:eastAsia="zh-CN"/>
              </w:rPr>
              <w:t>商业秘密</w:t>
            </w:r>
          </w:p>
        </w:tc>
        <w:tc>
          <w:tcPr>
            <w:tcW w:w="6109"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是指不为公众所知悉、具有商业价值并经权利人采取相应保密措施的技术信息和经营信息等商业信息。主要指技术秘密、商业情报及经济信息、价格等与技术和经营活动有关的相关信息，如生产工艺、生产原料、客户信息、相关数据、管理、财务、购销渠道以及招投标资料等当事人不愿公开的商业秘密。投标文件是</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highlight w:val="none"/>
                <w:lang w:val="en-US" w:eastAsia="zh-CN"/>
              </w:rPr>
              <w:t>根据招标文件的要求编制的，具有独特、个性的特征，并具有实用性，能为</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highlight w:val="none"/>
                <w:lang w:val="en-US" w:eastAsia="zh-CN"/>
              </w:rPr>
              <w:t>带来经济利益，因此其属于</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highlight w:val="none"/>
                <w:lang w:val="en-US" w:eastAsia="zh-CN"/>
              </w:rPr>
              <w:t>的商业秘密，不</w:t>
            </w:r>
            <w:r>
              <w:rPr>
                <w:rFonts w:hint="eastAsia" w:ascii="仿宋" w:hAnsi="仿宋" w:eastAsia="仿宋" w:cs="仿宋"/>
                <w:color w:val="auto"/>
                <w:sz w:val="24"/>
                <w:szCs w:val="24"/>
                <w:lang w:val="en-US" w:eastAsia="zh-CN"/>
              </w:rPr>
              <w:t>可</w:t>
            </w:r>
            <w:r>
              <w:rPr>
                <w:rFonts w:hint="eastAsia" w:ascii="仿宋" w:hAnsi="仿宋" w:eastAsia="仿宋" w:cs="仿宋"/>
                <w:color w:val="auto"/>
                <w:sz w:val="24"/>
                <w:szCs w:val="24"/>
                <w:highlight w:val="none"/>
                <w:lang w:val="en-US" w:eastAsia="zh-CN"/>
              </w:rPr>
              <w:t>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jc w:val="center"/>
              <w:textAlignment w:val="auto"/>
              <w:rPr>
                <w:rFonts w:hint="default"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21.13</w:t>
            </w:r>
          </w:p>
        </w:tc>
        <w:tc>
          <w:tcPr>
            <w:tcW w:w="1907"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highlight w:val="none"/>
                <w:lang w:val="en-US" w:eastAsia="zh-CN"/>
              </w:rPr>
              <w:t>保密</w:t>
            </w:r>
          </w:p>
        </w:tc>
        <w:tc>
          <w:tcPr>
            <w:tcW w:w="6109" w:type="dxa"/>
            <w:vAlign w:val="center"/>
          </w:tcPr>
          <w:p>
            <w:pPr>
              <w:keepNext w:val="0"/>
              <w:keepLines w:val="0"/>
              <w:pageBreakBefore w:val="0"/>
              <w:kinsoku/>
              <w:wordWrap/>
              <w:overflowPunct/>
              <w:topLinePunct w:val="0"/>
              <w:autoSpaceDE/>
              <w:autoSpaceDN/>
              <w:bidi w:val="0"/>
              <w:adjustRightInd/>
              <w:spacing w:line="500" w:lineRule="exac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采购活动的当事各方，不得以任何形式向任何单位和个人提供与本项目有关的</w:t>
            </w:r>
            <w:r>
              <w:rPr>
                <w:rFonts w:hint="eastAsia" w:ascii="仿宋" w:hAnsi="仿宋" w:eastAsia="仿宋" w:cs="仿宋"/>
                <w:strike w:val="0"/>
                <w:dstrike w:val="0"/>
                <w:color w:val="auto"/>
                <w:sz w:val="24"/>
                <w:szCs w:val="24"/>
                <w:highlight w:val="none"/>
                <w:lang w:val="en-US" w:eastAsia="zh-CN"/>
              </w:rPr>
              <w:t>招标</w:t>
            </w:r>
            <w:r>
              <w:rPr>
                <w:rFonts w:hint="eastAsia" w:ascii="仿宋" w:hAnsi="仿宋" w:eastAsia="仿宋" w:cs="仿宋"/>
                <w:color w:val="auto"/>
                <w:sz w:val="24"/>
                <w:szCs w:val="24"/>
                <w:highlight w:val="none"/>
                <w:lang w:val="en-US" w:eastAsia="zh-CN"/>
              </w:rPr>
              <w:t>资料，均应对招投标文件中的商业和技术等内容进行保密，违者承担法律责任。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jc w:val="center"/>
              <w:textAlignment w:val="auto"/>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21.14</w:t>
            </w:r>
          </w:p>
        </w:tc>
        <w:tc>
          <w:tcPr>
            <w:tcW w:w="1907" w:type="dxa"/>
            <w:vAlign w:val="center"/>
          </w:tcPr>
          <w:p>
            <w:pPr>
              <w:keepNext w:val="0"/>
              <w:keepLines w:val="0"/>
              <w:pageBreakBefore w:val="0"/>
              <w:kinsoku/>
              <w:wordWrap/>
              <w:overflowPunct/>
              <w:topLinePunct w:val="0"/>
              <w:autoSpaceDE/>
              <w:autoSpaceDN/>
              <w:bidi w:val="0"/>
              <w:adjustRightInd/>
              <w:snapToGrid w:val="0"/>
              <w:spacing w:line="500" w:lineRule="exact"/>
              <w:jc w:val="center"/>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eastAsia="zh-CN"/>
              </w:rPr>
              <w:t>其他</w:t>
            </w:r>
          </w:p>
        </w:tc>
        <w:tc>
          <w:tcPr>
            <w:tcW w:w="6109" w:type="dxa"/>
            <w:vAlign w:val="center"/>
          </w:tcPr>
          <w:p>
            <w:pPr>
              <w:keepNext w:val="0"/>
              <w:keepLines w:val="0"/>
              <w:pageBreakBefore w:val="0"/>
              <w:kinsoku/>
              <w:wordWrap/>
              <w:overflowPunct/>
              <w:topLinePunct w:val="0"/>
              <w:autoSpaceDE/>
              <w:autoSpaceDN/>
              <w:bidi w:val="0"/>
              <w:adjustRightInd/>
              <w:snapToGrid w:val="0"/>
              <w:spacing w:line="500" w:lineRule="exact"/>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1.本文所称的“以上”、“以下”、“内”、“以内”、“届满”，包括本数；所称的“不足”、“不满”、“超过”、“以外”，不包括本数。</w:t>
            </w:r>
          </w:p>
          <w:p>
            <w:pPr>
              <w:keepNext w:val="0"/>
              <w:keepLines w:val="0"/>
              <w:pageBreakBefore w:val="0"/>
              <w:kinsoku/>
              <w:wordWrap/>
              <w:overflowPunct/>
              <w:topLinePunct w:val="0"/>
              <w:autoSpaceDE/>
              <w:autoSpaceDN/>
              <w:bidi w:val="0"/>
              <w:adjustRightInd/>
              <w:snapToGrid w:val="0"/>
              <w:spacing w:line="500" w:lineRule="exact"/>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2.文中的“自....之日起”，不包含当日，以下一日开始计算。</w:t>
            </w:r>
          </w:p>
          <w:p>
            <w:pPr>
              <w:keepNext w:val="0"/>
              <w:keepLines w:val="0"/>
              <w:pageBreakBefore w:val="0"/>
              <w:kinsoku/>
              <w:wordWrap/>
              <w:overflowPunct/>
              <w:topLinePunct w:val="0"/>
              <w:autoSpaceDE/>
              <w:autoSpaceDN/>
              <w:bidi w:val="0"/>
              <w:adjustRightInd/>
              <w:snapToGrid w:val="0"/>
              <w:spacing w:line="500" w:lineRule="exact"/>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3.文中“日”等同“日历日”或“天”。</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14C843"/>
    <w:multiLevelType w:val="singleLevel"/>
    <w:tmpl w:val="B914C843"/>
    <w:lvl w:ilvl="0" w:tentative="0">
      <w:start w:val="1"/>
      <w:numFmt w:val="decimal"/>
      <w:lvlText w:val="%1."/>
      <w:lvlJc w:val="left"/>
      <w:pPr>
        <w:tabs>
          <w:tab w:val="left" w:pos="312"/>
        </w:tabs>
      </w:pPr>
    </w:lvl>
  </w:abstractNum>
  <w:abstractNum w:abstractNumId="1">
    <w:nsid w:val="593E4D0B"/>
    <w:multiLevelType w:val="singleLevel"/>
    <w:tmpl w:val="593E4D0B"/>
    <w:lvl w:ilvl="0" w:tentative="0">
      <w:start w:val="1"/>
      <w:numFmt w:val="decimal"/>
      <w:lvlText w:val="%1."/>
      <w:lvlJc w:val="left"/>
      <w:pPr>
        <w:tabs>
          <w:tab w:val="left" w:pos="312"/>
        </w:tabs>
      </w:pPr>
    </w:lvl>
  </w:abstractNum>
  <w:abstractNum w:abstractNumId="2">
    <w:nsid w:val="6C164464"/>
    <w:multiLevelType w:val="singleLevel"/>
    <w:tmpl w:val="6C164464"/>
    <w:lvl w:ilvl="0" w:tentative="0">
      <w:start w:val="1"/>
      <w:numFmt w:val="decimal"/>
      <w:lvlText w:val="%1."/>
      <w:lvlJc w:val="left"/>
      <w:pPr>
        <w:tabs>
          <w:tab w:val="left" w:pos="312"/>
        </w:tabs>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VmNjJmZGJjZjhhNGVmNzg0NTU0Y2ExNjM1ZTI1ODcifQ=="/>
  </w:docVars>
  <w:rsids>
    <w:rsidRoot w:val="4DAD24A3"/>
    <w:rsid w:val="39B33339"/>
    <w:rsid w:val="4DAD24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99"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4">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99"/>
    <w:pPr>
      <w:ind w:firstLine="200" w:firstLineChars="200"/>
    </w:pPr>
    <w:rPr>
      <w:szCs w:val="21"/>
    </w:rPr>
  </w:style>
  <w:style w:type="paragraph" w:styleId="3">
    <w:name w:val="Plain Text"/>
    <w:basedOn w:val="1"/>
    <w:next w:val="1"/>
    <w:qFormat/>
    <w:uiPriority w:val="0"/>
    <w:rPr>
      <w:rFonts w:ascii="宋体" w:hAnsi="Courier New" w:cs="Courier New"/>
      <w:sz w:val="21"/>
      <w:szCs w:val="21"/>
    </w:rPr>
  </w:style>
  <w:style w:type="paragraph" w:styleId="5">
    <w:name w:val="toa heading"/>
    <w:basedOn w:val="1"/>
    <w:next w:val="1"/>
    <w:semiHidden/>
    <w:qFormat/>
    <w:uiPriority w:val="99"/>
    <w:pPr>
      <w:spacing w:before="120"/>
    </w:pPr>
    <w:rPr>
      <w:rFonts w:ascii="Cambria" w:hAnsi="Cambria"/>
      <w:sz w:val="24"/>
    </w:rPr>
  </w:style>
  <w:style w:type="paragraph" w:styleId="6">
    <w:name w:val="annotation text"/>
    <w:basedOn w:val="1"/>
    <w:qFormat/>
    <w:uiPriority w:val="0"/>
    <w:pPr>
      <w:jc w:val="left"/>
    </w:pPr>
  </w:style>
  <w:style w:type="paragraph" w:styleId="7">
    <w:name w:val="toc 4"/>
    <w:basedOn w:val="1"/>
    <w:next w:val="1"/>
    <w:qFormat/>
    <w:uiPriority w:val="0"/>
    <w:pPr>
      <w:tabs>
        <w:tab w:val="left" w:pos="1890"/>
        <w:tab w:val="right" w:leader="dot" w:pos="8296"/>
      </w:tabs>
      <w:ind w:left="630" w:leftChars="300"/>
    </w:pPr>
    <w:rPr>
      <w:rFonts w:ascii="Calibri" w:hAnsi="Calibri"/>
      <w:szCs w:val="22"/>
    </w:rPr>
  </w:style>
  <w:style w:type="paragraph" w:customStyle="1" w:styleId="10">
    <w:name w:val="p15"/>
    <w:basedOn w:val="1"/>
    <w:qFormat/>
    <w:uiPriority w:val="99"/>
    <w:pPr>
      <w:widowControl/>
    </w:pPr>
    <w:rPr>
      <w:kern w:val="0"/>
      <w:sz w:val="21"/>
      <w:szCs w:val="21"/>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5483</Words>
  <Characters>5714</Characters>
  <Lines>0</Lines>
  <Paragraphs>0</Paragraphs>
  <TotalTime>2</TotalTime>
  <ScaleCrop>false</ScaleCrop>
  <LinksUpToDate>false</LinksUpToDate>
  <CharactersWithSpaces>5718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2025-09-22T06:27:00Z</dcterms:created>
  <dc:creator>左左</dc:creator>
  <cp:lastModifiedBy>左左</cp:lastModifiedBy>
  <dcterms:modified xsi:type="dcterms:W3CDTF">2025-10-15T09:24:38Z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9168CEB8652A4C82AB46C8C7F54AA6B5_11</vt:lpwstr>
  </property>
</Properties>
</file>