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供应商不得在“信用中国”（www.creditchina.gov.cn）和“中国政府采购网”（www.ccgp.gov.cn）有失信记录。（1.“信用中国：未被列入失信被执行人和重大税收违法案件当事人;2.“中国政府采购网”:未被列入严重违法失信行为记录名单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jBlMWFiY2UyYjQ1NWYwYWI5MjNkODI5ZDljOGYifQ=="/>
  </w:docVars>
  <w:rsids>
    <w:rsidRoot w:val="0621695D"/>
    <w:rsid w:val="0621695D"/>
    <w:rsid w:val="25A61048"/>
    <w:rsid w:val="5992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2025-06-13T08:28:00Z</dcterms:created>
  <dc:creator>左左</dc:creator>
  <cp:lastModifiedBy>左左</cp:lastModifiedBy>
  <dcterms:modified xsi:type="dcterms:W3CDTF">2025-07-16T01:51:13Z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A7471BCE68014A829981F36BA5190327_11</vt:lpwstr>
  </property>
  <property fmtid="{D5CDD505-2E9C-101B-9397-08002B2CF9AE}" pid="4" name="KSOTemplateDocerSaveRecord">
    <vt:lpwstr>eyJoZGlkIjoiY2MxZWJiYzljMTQ4YmJkYTdjNmRhM2Y3MWEzMjhhZmUiLCJ1c2VySWQiOiI1NzY5ODc4MzkifQ==</vt:lpwstr>
  </property>
</Properties>
</file>