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版本号：DTZB-202503620251020001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开展建设工程消防审验违法违规专项治理课题研究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DTZB-2025036</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开展建设工程消防审验违法违规专项治理课题研究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开展建设工程消防审验违法违规专项治理课题研究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针对我省存在大量未经消防验收擅自投入使用的历史遗留项目，通过信息化、可视化等手段，开展建设工程消防审验违法违规专项治理课题研究，达到化解存量、清零存量的预期目标。 要求各地2025年12月底前，完成消防审验手续排查，归集消防审验手续不全或缺失的问题项目数据，协同开展进场建筑材料和设施设备防火性能查处；2026年6月底前，分类施策基本完成消防审验手续问题项目整治；2026年12月底前，巩固专项治理工作成效，并形成监管长效机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张润霖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029-63915752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 2.代理服务费缴纳账户信息： 户名：陕西大同项目管理有限公司 开户行名称：中国银行西安高新科技支行 账号：102451771385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开展建设工程消防审验违法违规专项治理课题研究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开展建设工程消防审验违法违规专项治理课题研究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标的名称：开展建设工程消防审验违法违规专项治理课题研究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left"/>
            </w:pPr>
            <w:r>
              <w:rPr>
                <w:rFonts w:ascii="仿宋_GB2312" w:hAnsi="仿宋_GB2312" w:cs="仿宋_GB2312" w:eastAsia="仿宋_GB2312"/>
                <w:sz w:val="30"/>
                <w:color w:val="222222"/>
                <w:shd w:fill="FFFFFF" w:val="clear"/>
              </w:rPr>
              <w:t>针对我省存在大量未经消防验收擅自投入使用的历史遗留项目，通过信息化、可视化等手段，开展建设工程消防审验违法违规专项治理课题研究，达到化解存量、清零存量的预期目标。</w:t>
            </w:r>
            <w:r>
              <w:rPr>
                <w:rFonts w:ascii="仿宋_GB2312" w:hAnsi="仿宋_GB2312" w:cs="仿宋_GB2312" w:eastAsia="仿宋_GB2312"/>
                <w:sz w:val="30"/>
                <w:color w:val="222222"/>
                <w:shd w:fill="FFFFFF" w:val="clear"/>
              </w:rPr>
              <w:t>要求各地</w:t>
            </w:r>
            <w:r>
              <w:rPr>
                <w:rFonts w:ascii="仿宋_GB2312" w:hAnsi="仿宋_GB2312" w:cs="仿宋_GB2312" w:eastAsia="仿宋_GB2312"/>
                <w:sz w:val="30"/>
                <w:color w:val="222222"/>
                <w:shd w:fill="FFFFFF" w:val="clear"/>
              </w:rPr>
              <w:t>2025年12月底前，完成消防审验手续排查，归集消防审验手续不全或缺失的问题项目数据，协同开展进场建筑材料和设施设备防火性能查处；2026年6月底前，分类施策基本完成消防审验手续问题项目整治；2026年12月底前，巩固专项治理工作成效，并形成监管长效机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制(6)服务承诺等；以上(1)-(6)项内容齐全且无缺陷的得18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项目理解和熟悉程度</w:t>
            </w:r>
          </w:p>
        </w:tc>
        <w:tc>
          <w:tcPr>
            <w:tcW w:type="dxa" w:w="2492"/>
          </w:tcPr>
          <w:p>
            <w:pPr>
              <w:pStyle w:val="null3"/>
            </w:pPr>
            <w:r>
              <w:rPr>
                <w:rFonts w:ascii="仿宋_GB2312" w:hAnsi="仿宋_GB2312" w:cs="仿宋_GB2312" w:eastAsia="仿宋_GB2312"/>
              </w:rPr>
              <w:t>针对本项目提供的对项目理解和热悉程度内容，包括但不限于:(1)目标任务(2)工作内容(3)重点、难点理解及分析等； 以上(1)-(3)项内容齐全且无缺陷的得9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针对本项目提供的质量保障措施内容，包括但不限于:(1)质量管理方案(2)质量管理机构及职责(3)质量保证措施(4)质量保障承诺; 以上(1)-(4)项内容齐全且无缺陷的得12分，每有-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针对本项目提供的进度安排及保障措施内容，包括但不限于:(1)进度计划(2)工作部署(3)各阶段实施流程(4)进度保障措施；以上(1)-(4)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供应商结合自身技术优势，充分考虑用户的需求发展，提出创新、创优等合理化建议。每条有实质性的合理化建议的得1分，最多4分。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提供近三年（2022年1月至今）签署的同类项目业绩。每提供一项得2分（以合同或中标确认书复印件加盖公章为准），满分6分。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工期及服务承诺</w:t>
            </w:r>
          </w:p>
        </w:tc>
        <w:tc>
          <w:tcPr>
            <w:tcW w:type="dxa" w:w="2492"/>
          </w:tcPr>
          <w:p>
            <w:pPr>
              <w:pStyle w:val="null3"/>
            </w:pPr>
            <w:r>
              <w:rPr>
                <w:rFonts w:ascii="仿宋_GB2312" w:hAnsi="仿宋_GB2312" w:cs="仿宋_GB2312" w:eastAsia="仿宋_GB2312"/>
              </w:rPr>
              <w:t>工期保证、服务内容、承诺全面，对本项目有技术支持度及跟踪服务能力。①内容具体、完整、详细、全面、可行性强，计3-6分； ②内容欠缺、薄弱、仅能满足项目需求，计 1-3分； 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拟派项目团队中：1、项目经理具有高级工程师职称证书、信息系统项目管理师证书，且具备IT服务项目经理证、CISO证，每有一项证书得1分，满分4分； 2、拟投入本项目的团队人员（项目经理除外）具有信息系统项目管理师、系统架构设计师、系统集成项目管理工程师、软件设计师、数据库系统工程师的，每提供一项得1分，满分5分。 注：须提供团队成员身份证、毕业证、相关资质证书等复印件和投标截止之日前半年内连续三个月的社保证明材料。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企业体系认证</w:t>
            </w:r>
          </w:p>
        </w:tc>
        <w:tc>
          <w:tcPr>
            <w:tcW w:type="dxa" w:w="2492"/>
          </w:tcPr>
          <w:p>
            <w:pPr>
              <w:pStyle w:val="null3"/>
            </w:pPr>
            <w:r>
              <w:rPr>
                <w:rFonts w:ascii="仿宋_GB2312" w:hAnsi="仿宋_GB2312" w:cs="仿宋_GB2312" w:eastAsia="仿宋_GB2312"/>
              </w:rPr>
              <w:t>提供质量管理体系认证证书ISO9001、信息技术服务管理体系认证证书ISO20000、信息安全管理体系认证证书ISO27001的，每提供一项得3分，最高得9分。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