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EBD" w:rsidRDefault="00D66EBD" w:rsidP="00694B5C">
      <w:pPr>
        <w:jc w:val="center"/>
        <w:rPr>
          <w:rFonts w:ascii="宋体" w:eastAsia="宋体" w:hAnsi="宋体" w:cs="仿宋"/>
          <w:bCs/>
          <w:sz w:val="28"/>
          <w:szCs w:val="28"/>
          <w:u w:val="single"/>
        </w:rPr>
      </w:pPr>
      <w:bookmarkStart w:id="0" w:name="_GoBack"/>
      <w:bookmarkEnd w:id="0"/>
      <w:r w:rsidRPr="00D66EBD">
        <w:rPr>
          <w:rFonts w:ascii="宋体" w:eastAsia="宋体" w:hAnsi="宋体" w:cs="仿宋" w:hint="eastAsia"/>
          <w:bCs/>
          <w:sz w:val="28"/>
          <w:szCs w:val="28"/>
          <w:u w:val="single"/>
        </w:rPr>
        <w:t>秦始皇帝陵博物院一二号坑考古保护平台（二期）项目</w:t>
      </w:r>
    </w:p>
    <w:p w:rsidR="00694B5C" w:rsidRDefault="00AE621D" w:rsidP="00694B5C">
      <w:pPr>
        <w:jc w:val="center"/>
        <w:rPr>
          <w:rFonts w:ascii="宋体" w:eastAsia="宋体" w:hAnsi="宋体" w:cs="宋体"/>
          <w:b/>
          <w:bCs/>
          <w:sz w:val="32"/>
          <w:szCs w:val="32"/>
        </w:rPr>
      </w:pPr>
      <w:r>
        <w:rPr>
          <w:rFonts w:ascii="宋体" w:eastAsia="宋体" w:hAnsi="宋体" w:cs="宋体" w:hint="eastAsia"/>
          <w:b/>
          <w:bCs/>
          <w:sz w:val="32"/>
          <w:szCs w:val="32"/>
        </w:rPr>
        <w:t>清单</w:t>
      </w:r>
      <w:r w:rsidR="00694B5C" w:rsidRPr="00694B5C">
        <w:rPr>
          <w:rFonts w:ascii="宋体" w:eastAsia="宋体" w:hAnsi="宋体" w:cs="宋体" w:hint="eastAsia"/>
          <w:b/>
          <w:bCs/>
          <w:sz w:val="32"/>
          <w:szCs w:val="32"/>
        </w:rPr>
        <w:t>编制说明</w:t>
      </w:r>
    </w:p>
    <w:p w:rsidR="00694B5C" w:rsidRPr="00694B5C" w:rsidRDefault="00694B5C" w:rsidP="00694B5C">
      <w:pPr>
        <w:jc w:val="center"/>
        <w:rPr>
          <w:rFonts w:ascii="宋体" w:eastAsia="宋体" w:hAnsi="宋体" w:cs="宋体"/>
          <w:sz w:val="32"/>
          <w:szCs w:val="32"/>
        </w:rPr>
      </w:pPr>
    </w:p>
    <w:p w:rsidR="00694B5C" w:rsidRPr="00672E30" w:rsidRDefault="00694B5C" w:rsidP="00694B5C">
      <w:pPr>
        <w:adjustRightInd w:val="0"/>
        <w:snapToGrid w:val="0"/>
        <w:spacing w:line="360" w:lineRule="auto"/>
        <w:ind w:left="602" w:rightChars="-29" w:right="-61"/>
        <w:rPr>
          <w:rFonts w:ascii="仿宋" w:eastAsia="仿宋" w:hAnsi="仿宋" w:cs="宋体"/>
          <w:b/>
          <w:sz w:val="28"/>
          <w:szCs w:val="28"/>
        </w:rPr>
      </w:pPr>
      <w:r w:rsidRPr="00672E30">
        <w:rPr>
          <w:rFonts w:ascii="仿宋" w:eastAsia="仿宋" w:hAnsi="仿宋" w:cs="宋体" w:hint="eastAsia"/>
          <w:b/>
          <w:sz w:val="28"/>
          <w:szCs w:val="28"/>
        </w:rPr>
        <w:t>一、工程概况：</w:t>
      </w:r>
    </w:p>
    <w:p w:rsidR="00D66EBD" w:rsidRPr="00D66EBD" w:rsidRDefault="00D66EBD" w:rsidP="00D66EBD">
      <w:pPr>
        <w:pStyle w:val="a3"/>
        <w:spacing w:beforeAutospacing="0" w:afterAutospacing="0" w:line="360" w:lineRule="auto"/>
        <w:ind w:firstLineChars="200" w:firstLine="560"/>
        <w:jc w:val="both"/>
        <w:rPr>
          <w:rFonts w:ascii="仿宋" w:eastAsia="仿宋" w:hAnsi="仿宋" w:cs="宋体"/>
          <w:sz w:val="28"/>
          <w:szCs w:val="28"/>
        </w:rPr>
      </w:pPr>
      <w:r w:rsidRPr="00D66EBD">
        <w:rPr>
          <w:rFonts w:ascii="仿宋" w:eastAsia="仿宋" w:hAnsi="仿宋" w:cs="宋体" w:hint="eastAsia"/>
          <w:sz w:val="28"/>
          <w:szCs w:val="28"/>
        </w:rPr>
        <w:t>本工程为</w:t>
      </w:r>
      <w:r w:rsidRPr="00D66EBD">
        <w:rPr>
          <w:rFonts w:ascii="仿宋" w:eastAsia="仿宋" w:hAnsi="仿宋" w:hint="eastAsia"/>
          <w:sz w:val="28"/>
          <w:szCs w:val="28"/>
        </w:rPr>
        <w:t>秦始皇帝陵博物院一二号坑考古保护平台（二期）项目，建设</w:t>
      </w:r>
      <w:r w:rsidRPr="00D66EBD">
        <w:rPr>
          <w:rFonts w:ascii="仿宋" w:eastAsia="仿宋" w:hAnsi="仿宋" w:cs="宋体" w:hint="eastAsia"/>
          <w:sz w:val="28"/>
          <w:szCs w:val="28"/>
        </w:rPr>
        <w:t>地点位于西安市临潼区秦始皇帝陵博物院一二号坑内，主要内容包括</w:t>
      </w:r>
      <w:r w:rsidRPr="00D66EBD">
        <w:rPr>
          <w:rFonts w:ascii="仿宋" w:eastAsia="仿宋" w:hAnsi="仿宋" w:hint="eastAsia"/>
          <w:sz w:val="28"/>
          <w:szCs w:val="28"/>
        </w:rPr>
        <w:t>秦始皇帝陵博物院一号发掘舱文物转运装备、二号发掘舱文物转运装备、文物清理修护装备、控制信息化系统及一、二号坑考古与保护数据可视化系统等的施工与调试。</w:t>
      </w:r>
    </w:p>
    <w:p w:rsidR="00694B5C" w:rsidRDefault="00694B5C" w:rsidP="00694B5C">
      <w:pPr>
        <w:numPr>
          <w:ilvl w:val="0"/>
          <w:numId w:val="1"/>
        </w:numPr>
        <w:adjustRightInd w:val="0"/>
        <w:snapToGrid w:val="0"/>
        <w:spacing w:line="360" w:lineRule="auto"/>
        <w:ind w:rightChars="-29" w:right="-61" w:firstLineChars="200" w:firstLine="562"/>
        <w:rPr>
          <w:rFonts w:ascii="仿宋" w:eastAsia="仿宋" w:hAnsi="仿宋" w:cs="宋体"/>
          <w:b/>
          <w:sz w:val="28"/>
          <w:szCs w:val="28"/>
        </w:rPr>
      </w:pPr>
      <w:r w:rsidRPr="00672E30">
        <w:rPr>
          <w:rFonts w:ascii="仿宋" w:eastAsia="仿宋" w:hAnsi="仿宋" w:cs="宋体" w:hint="eastAsia"/>
          <w:b/>
          <w:sz w:val="28"/>
          <w:szCs w:val="28"/>
        </w:rPr>
        <w:t>编制依据：</w:t>
      </w:r>
    </w:p>
    <w:p w:rsidR="00535EFB" w:rsidRDefault="00535EFB" w:rsidP="00535EFB">
      <w:pPr>
        <w:adjustRightInd w:val="0"/>
        <w:snapToGrid w:val="0"/>
        <w:spacing w:line="360" w:lineRule="auto"/>
        <w:ind w:left="562" w:rightChars="-29" w:right="-61"/>
        <w:rPr>
          <w:rFonts w:ascii="仿宋" w:eastAsia="仿宋" w:hAnsi="仿宋" w:cs="宋体"/>
          <w:sz w:val="28"/>
          <w:szCs w:val="28"/>
        </w:rPr>
      </w:pPr>
      <w:r w:rsidRPr="00535EFB">
        <w:rPr>
          <w:rFonts w:ascii="仿宋" w:eastAsia="仿宋" w:hAnsi="仿宋" w:cs="宋体" w:hint="eastAsia"/>
          <w:sz w:val="28"/>
          <w:szCs w:val="28"/>
        </w:rPr>
        <w:t>1</w:t>
      </w:r>
      <w:r>
        <w:rPr>
          <w:rFonts w:ascii="仿宋" w:eastAsia="仿宋" w:hAnsi="仿宋" w:cs="宋体" w:hint="eastAsia"/>
          <w:sz w:val="28"/>
          <w:szCs w:val="28"/>
        </w:rPr>
        <w:t>、</w:t>
      </w:r>
      <w:r w:rsidRPr="00535EFB">
        <w:rPr>
          <w:rFonts w:ascii="仿宋" w:eastAsia="仿宋" w:hAnsi="仿宋" w:cs="宋体" w:hint="eastAsia"/>
          <w:sz w:val="28"/>
          <w:szCs w:val="28"/>
        </w:rPr>
        <w:t>《陕西省建设工程工程量清单计价标准2025》；</w:t>
      </w:r>
    </w:p>
    <w:p w:rsidR="00535EFB" w:rsidRDefault="00535EFB" w:rsidP="00535EFB">
      <w:pPr>
        <w:adjustRightInd w:val="0"/>
        <w:snapToGrid w:val="0"/>
        <w:spacing w:line="360" w:lineRule="auto"/>
        <w:ind w:left="562" w:rightChars="-29" w:right="-61"/>
        <w:rPr>
          <w:rFonts w:ascii="仿宋" w:eastAsia="仿宋" w:hAnsi="仿宋" w:cs="宋体"/>
          <w:sz w:val="28"/>
          <w:szCs w:val="28"/>
        </w:rPr>
      </w:pPr>
      <w:r w:rsidRPr="00535EFB">
        <w:rPr>
          <w:rFonts w:ascii="仿宋" w:eastAsia="仿宋" w:hAnsi="仿宋" w:cs="宋体" w:hint="eastAsia"/>
          <w:sz w:val="28"/>
          <w:szCs w:val="28"/>
        </w:rPr>
        <w:t>2</w:t>
      </w:r>
      <w:r>
        <w:rPr>
          <w:rFonts w:ascii="仿宋" w:eastAsia="仿宋" w:hAnsi="仿宋" w:cs="宋体" w:hint="eastAsia"/>
          <w:sz w:val="28"/>
          <w:szCs w:val="28"/>
        </w:rPr>
        <w:t>、</w:t>
      </w:r>
      <w:r w:rsidRPr="00535EFB">
        <w:rPr>
          <w:rFonts w:ascii="仿宋" w:eastAsia="仿宋" w:hAnsi="仿宋" w:cs="宋体" w:hint="eastAsia"/>
          <w:sz w:val="28"/>
          <w:szCs w:val="28"/>
        </w:rPr>
        <w:t>《陕西省建设工程费用规则（2025）》；</w:t>
      </w:r>
    </w:p>
    <w:p w:rsidR="00535EFB" w:rsidRPr="00535EFB" w:rsidRDefault="00535EFB" w:rsidP="00535EFB">
      <w:pPr>
        <w:adjustRightInd w:val="0"/>
        <w:snapToGrid w:val="0"/>
        <w:spacing w:line="360" w:lineRule="auto"/>
        <w:ind w:left="562" w:rightChars="-29" w:right="-61"/>
        <w:rPr>
          <w:rFonts w:ascii="仿宋" w:eastAsia="仿宋" w:hAnsi="仿宋" w:cs="宋体"/>
          <w:sz w:val="28"/>
          <w:szCs w:val="28"/>
        </w:rPr>
      </w:pPr>
      <w:r w:rsidRPr="00535EFB">
        <w:rPr>
          <w:rFonts w:ascii="仿宋" w:eastAsia="仿宋" w:hAnsi="仿宋" w:cs="宋体" w:hint="eastAsia"/>
          <w:sz w:val="28"/>
          <w:szCs w:val="28"/>
        </w:rPr>
        <w:t>3</w:t>
      </w:r>
      <w:r>
        <w:rPr>
          <w:rFonts w:ascii="仿宋" w:eastAsia="仿宋" w:hAnsi="仿宋" w:cs="宋体" w:hint="eastAsia"/>
          <w:sz w:val="28"/>
          <w:szCs w:val="28"/>
        </w:rPr>
        <w:t>、</w:t>
      </w:r>
      <w:r w:rsidRPr="00535EFB">
        <w:rPr>
          <w:rFonts w:ascii="仿宋" w:eastAsia="仿宋" w:hAnsi="仿宋" w:cs="宋体" w:hint="eastAsia"/>
          <w:sz w:val="28"/>
          <w:szCs w:val="28"/>
        </w:rPr>
        <w:t>《陕西省房屋建筑与装饰工程工程量计算标准（2025）》、《陕西省通用安装工程工程量计算标准（2025）》</w:t>
      </w:r>
    </w:p>
    <w:p w:rsidR="00694B5C" w:rsidRPr="00672E30" w:rsidRDefault="00535EFB" w:rsidP="00D66EBD">
      <w:pPr>
        <w:adjustRightInd w:val="0"/>
        <w:snapToGrid w:val="0"/>
        <w:spacing w:line="360" w:lineRule="auto"/>
        <w:ind w:rightChars="-29" w:right="-61" w:firstLineChars="200" w:firstLine="560"/>
        <w:rPr>
          <w:rFonts w:ascii="仿宋" w:eastAsia="仿宋" w:hAnsi="仿宋" w:cs="宋体"/>
          <w:sz w:val="28"/>
          <w:szCs w:val="28"/>
        </w:rPr>
      </w:pPr>
      <w:r>
        <w:rPr>
          <w:rFonts w:ascii="仿宋" w:eastAsia="仿宋" w:hAnsi="仿宋" w:cs="宋体" w:hint="eastAsia"/>
          <w:sz w:val="28"/>
          <w:szCs w:val="28"/>
        </w:rPr>
        <w:t>4</w:t>
      </w:r>
      <w:r w:rsidR="00694B5C" w:rsidRPr="00672E30">
        <w:rPr>
          <w:rFonts w:ascii="仿宋" w:eastAsia="仿宋" w:hAnsi="仿宋" w:cs="宋体" w:hint="eastAsia"/>
          <w:sz w:val="28"/>
          <w:szCs w:val="28"/>
        </w:rPr>
        <w:t>、正常施工组织设计及施工方法；</w:t>
      </w:r>
    </w:p>
    <w:p w:rsidR="00694B5C" w:rsidRPr="00672E30" w:rsidRDefault="00535EFB" w:rsidP="00D66EBD">
      <w:pPr>
        <w:adjustRightInd w:val="0"/>
        <w:snapToGrid w:val="0"/>
        <w:spacing w:line="360" w:lineRule="auto"/>
        <w:ind w:rightChars="-29" w:right="-61" w:firstLineChars="200" w:firstLine="560"/>
        <w:rPr>
          <w:rFonts w:ascii="仿宋" w:eastAsia="仿宋" w:hAnsi="仿宋" w:cs="宋体"/>
          <w:sz w:val="28"/>
          <w:szCs w:val="28"/>
        </w:rPr>
      </w:pPr>
      <w:r>
        <w:rPr>
          <w:rFonts w:ascii="仿宋" w:eastAsia="仿宋" w:hAnsi="仿宋" w:cs="宋体" w:hint="eastAsia"/>
          <w:sz w:val="28"/>
          <w:szCs w:val="28"/>
        </w:rPr>
        <w:t>5</w:t>
      </w:r>
      <w:r w:rsidR="00694B5C" w:rsidRPr="00672E30">
        <w:rPr>
          <w:rFonts w:ascii="仿宋" w:eastAsia="仿宋" w:hAnsi="仿宋" w:cs="宋体" w:hint="eastAsia"/>
          <w:sz w:val="28"/>
          <w:szCs w:val="28"/>
        </w:rPr>
        <w:t>、施工图中采用的相关标准图集、施工规</w:t>
      </w:r>
      <w:r w:rsidR="00694B5C" w:rsidRPr="00672E30">
        <w:rPr>
          <w:rFonts w:ascii="仿宋" w:eastAsia="仿宋" w:hAnsi="仿宋" w:hint="eastAsia"/>
          <w:sz w:val="28"/>
          <w:szCs w:val="28"/>
        </w:rPr>
        <w:t>范及验收规范；</w:t>
      </w:r>
    </w:p>
    <w:p w:rsidR="00694B5C" w:rsidRDefault="00535EFB" w:rsidP="00D66EBD">
      <w:pPr>
        <w:adjustRightInd w:val="0"/>
        <w:snapToGrid w:val="0"/>
        <w:spacing w:line="360" w:lineRule="auto"/>
        <w:ind w:rightChars="-29" w:right="-61" w:firstLineChars="200" w:firstLine="560"/>
        <w:rPr>
          <w:rFonts w:ascii="仿宋" w:eastAsia="仿宋" w:hAnsi="仿宋" w:cs="宋体"/>
          <w:sz w:val="28"/>
          <w:szCs w:val="28"/>
        </w:rPr>
      </w:pPr>
      <w:r>
        <w:rPr>
          <w:rFonts w:ascii="仿宋" w:eastAsia="仿宋" w:hAnsi="仿宋" w:cs="宋体" w:hint="eastAsia"/>
          <w:sz w:val="28"/>
          <w:szCs w:val="28"/>
        </w:rPr>
        <w:t>6</w:t>
      </w:r>
      <w:r w:rsidR="00694B5C" w:rsidRPr="00672E30">
        <w:rPr>
          <w:rFonts w:ascii="仿宋" w:eastAsia="仿宋" w:hAnsi="仿宋" w:cs="宋体" w:hint="eastAsia"/>
          <w:sz w:val="28"/>
          <w:szCs w:val="28"/>
        </w:rPr>
        <w:t>、建设单位提供的施工图纸及相关标准图集、图纸答疑文件等；</w:t>
      </w:r>
    </w:p>
    <w:p w:rsidR="00D66EBD" w:rsidRPr="00D66EBD" w:rsidRDefault="00D66EBD" w:rsidP="00535EFB">
      <w:pPr>
        <w:tabs>
          <w:tab w:val="left" w:pos="600"/>
        </w:tabs>
        <w:spacing w:line="360" w:lineRule="auto"/>
        <w:ind w:firstLineChars="200" w:firstLine="586"/>
        <w:rPr>
          <w:rFonts w:ascii="仿宋_GB2312" w:eastAsia="仿宋_GB2312" w:hAnsi="仿宋"/>
          <w:b/>
          <w:color w:val="000000"/>
          <w:spacing w:val="6"/>
          <w:sz w:val="28"/>
          <w:szCs w:val="28"/>
        </w:rPr>
      </w:pPr>
      <w:r w:rsidRPr="00D66EBD">
        <w:rPr>
          <w:rFonts w:ascii="仿宋_GB2312" w:eastAsia="仿宋_GB2312" w:hAnsi="仿宋" w:hint="eastAsia"/>
          <w:b/>
          <w:color w:val="000000"/>
          <w:spacing w:val="6"/>
          <w:sz w:val="28"/>
          <w:szCs w:val="28"/>
        </w:rPr>
        <w:t>三、编制范围：</w:t>
      </w:r>
    </w:p>
    <w:p w:rsidR="00D66EBD" w:rsidRPr="00D66EBD" w:rsidRDefault="00D66EBD" w:rsidP="00535EFB">
      <w:pPr>
        <w:tabs>
          <w:tab w:val="left" w:pos="600"/>
        </w:tabs>
        <w:spacing w:line="360" w:lineRule="auto"/>
        <w:ind w:firstLineChars="200" w:firstLine="584"/>
        <w:rPr>
          <w:rFonts w:ascii="仿宋_GB2312" w:eastAsia="仿宋_GB2312" w:hAnsi="仿宋"/>
          <w:color w:val="000000"/>
          <w:spacing w:val="6"/>
          <w:sz w:val="28"/>
          <w:szCs w:val="28"/>
        </w:rPr>
      </w:pPr>
      <w:r w:rsidRPr="00D66EBD">
        <w:rPr>
          <w:rFonts w:ascii="仿宋_GB2312" w:eastAsia="仿宋_GB2312" w:hAnsi="仿宋" w:hint="eastAsia"/>
          <w:color w:val="000000"/>
          <w:spacing w:val="6"/>
          <w:sz w:val="28"/>
          <w:szCs w:val="28"/>
        </w:rPr>
        <w:t>1、甲方提供的秦始皇帝陵博物院一二号坑考古保护平台（二期）项目设计方案、项目实施清单及相关答疑。</w:t>
      </w:r>
    </w:p>
    <w:p w:rsidR="00D66EBD" w:rsidRPr="00D66EBD" w:rsidRDefault="00D66EBD" w:rsidP="00535EFB">
      <w:pPr>
        <w:tabs>
          <w:tab w:val="left" w:pos="600"/>
        </w:tabs>
        <w:spacing w:line="360" w:lineRule="auto"/>
        <w:ind w:firstLineChars="200" w:firstLine="584"/>
        <w:rPr>
          <w:rFonts w:ascii="仿宋_GB2312" w:eastAsia="仿宋_GB2312" w:hAnsi="仿宋"/>
          <w:color w:val="000000"/>
          <w:spacing w:val="6"/>
          <w:sz w:val="28"/>
          <w:szCs w:val="28"/>
        </w:rPr>
      </w:pPr>
      <w:r w:rsidRPr="00D66EBD">
        <w:rPr>
          <w:rFonts w:ascii="仿宋_GB2312" w:eastAsia="仿宋_GB2312" w:hAnsi="仿宋" w:hint="eastAsia"/>
          <w:color w:val="000000"/>
          <w:spacing w:val="6"/>
          <w:sz w:val="28"/>
          <w:szCs w:val="28"/>
        </w:rPr>
        <w:t>2、秦始皇帝陵博物院一二号坑考古保护平台（二期）项目设计方案采用的相关标准图集、施工规范及验收规范。</w:t>
      </w:r>
    </w:p>
    <w:p w:rsidR="00694B5C" w:rsidRPr="00D66EBD" w:rsidRDefault="00A509BE" w:rsidP="00D66EBD">
      <w:pPr>
        <w:pStyle w:val="a7"/>
        <w:numPr>
          <w:ilvl w:val="0"/>
          <w:numId w:val="3"/>
        </w:numPr>
        <w:adjustRightInd w:val="0"/>
        <w:snapToGrid w:val="0"/>
        <w:spacing w:line="360" w:lineRule="auto"/>
        <w:ind w:rightChars="-29" w:right="-61" w:firstLineChars="0"/>
        <w:rPr>
          <w:rFonts w:ascii="仿宋" w:eastAsia="仿宋" w:hAnsi="仿宋" w:cs="Arial"/>
          <w:b/>
          <w:sz w:val="28"/>
          <w:szCs w:val="28"/>
        </w:rPr>
      </w:pPr>
      <w:r w:rsidRPr="00D66EBD">
        <w:rPr>
          <w:rFonts w:ascii="仿宋" w:eastAsia="仿宋" w:hAnsi="仿宋" w:cs="Arial" w:hint="eastAsia"/>
          <w:b/>
          <w:sz w:val="28"/>
          <w:szCs w:val="28"/>
        </w:rPr>
        <w:t>其他</w:t>
      </w:r>
      <w:r w:rsidR="00694B5C" w:rsidRPr="00D66EBD">
        <w:rPr>
          <w:rFonts w:ascii="仿宋" w:eastAsia="仿宋" w:hAnsi="仿宋" w:cs="Arial" w:hint="eastAsia"/>
          <w:b/>
          <w:sz w:val="28"/>
          <w:szCs w:val="28"/>
        </w:rPr>
        <w:t>说明：</w:t>
      </w:r>
    </w:p>
    <w:p w:rsidR="00A509BE" w:rsidRDefault="00D66EBD" w:rsidP="00D66EBD">
      <w:pPr>
        <w:spacing w:line="360" w:lineRule="auto"/>
        <w:ind w:firstLineChars="200" w:firstLine="560"/>
        <w:rPr>
          <w:rFonts w:ascii="仿宋_GB2312" w:eastAsia="仿宋_GB2312" w:hAnsi="仿宋"/>
          <w:b/>
          <w:color w:val="000000"/>
          <w:sz w:val="28"/>
          <w:szCs w:val="28"/>
        </w:rPr>
      </w:pPr>
      <w:r>
        <w:rPr>
          <w:rFonts w:ascii="仿宋_GB2312" w:eastAsia="仿宋_GB2312" w:hAnsi="宋体" w:hint="eastAsia"/>
          <w:sz w:val="28"/>
          <w:szCs w:val="28"/>
        </w:rPr>
        <w:lastRenderedPageBreak/>
        <w:t>1</w:t>
      </w:r>
      <w:r w:rsidR="00A509BE">
        <w:rPr>
          <w:rFonts w:ascii="仿宋_GB2312" w:eastAsia="仿宋_GB2312" w:hAnsi="宋体" w:hint="eastAsia"/>
          <w:sz w:val="28"/>
          <w:szCs w:val="28"/>
        </w:rPr>
        <w:t>、</w:t>
      </w:r>
      <w:r w:rsidR="008A7CD8">
        <w:rPr>
          <w:rFonts w:ascii="仿宋_GB2312" w:eastAsia="仿宋_GB2312" w:hAnsi="宋体" w:hint="eastAsia"/>
          <w:sz w:val="28"/>
          <w:szCs w:val="28"/>
        </w:rPr>
        <w:t>本</w:t>
      </w:r>
      <w:r w:rsidR="008A7CD8" w:rsidRPr="008A7CD8">
        <w:rPr>
          <w:rFonts w:ascii="仿宋_GB2312" w:eastAsia="仿宋_GB2312" w:hAnsi="仿宋" w:hint="eastAsia"/>
          <w:sz w:val="28"/>
          <w:szCs w:val="28"/>
        </w:rPr>
        <w:t>工程计价软件采用广联达版本</w:t>
      </w:r>
      <w:r w:rsidR="0012743F">
        <w:rPr>
          <w:rFonts w:ascii="仿宋_GB2312" w:eastAsia="仿宋_GB2312" w:hAnsi="仿宋" w:hint="eastAsia"/>
          <w:sz w:val="28"/>
          <w:szCs w:val="28"/>
        </w:rPr>
        <w:t>号为</w:t>
      </w:r>
      <w:r w:rsidR="0012743F" w:rsidRPr="0012743F">
        <w:rPr>
          <w:rFonts w:ascii="仿宋_GB2312" w:eastAsia="仿宋_GB2312" w:hAnsi="仿宋" w:hint="eastAsia"/>
          <w:sz w:val="28"/>
          <w:szCs w:val="28"/>
        </w:rPr>
        <w:t>云计价平台GCCP</w:t>
      </w:r>
      <w:r w:rsidR="002347C2">
        <w:rPr>
          <w:rFonts w:ascii="仿宋_GB2312" w:eastAsia="仿宋_GB2312" w:hAnsi="仿宋" w:hint="eastAsia"/>
          <w:sz w:val="28"/>
          <w:szCs w:val="28"/>
        </w:rPr>
        <w:t>7</w:t>
      </w:r>
      <w:r w:rsidR="0012743F" w:rsidRPr="0012743F">
        <w:rPr>
          <w:rFonts w:ascii="仿宋_GB2312" w:eastAsia="仿宋_GB2312" w:hAnsi="仿宋" w:hint="eastAsia"/>
          <w:sz w:val="28"/>
          <w:szCs w:val="28"/>
        </w:rPr>
        <w:t>.0（</w:t>
      </w:r>
      <w:r w:rsidR="002347C2">
        <w:rPr>
          <w:rFonts w:ascii="仿宋_GB2312" w:eastAsia="仿宋_GB2312" w:hAnsi="仿宋" w:hint="eastAsia"/>
          <w:sz w:val="28"/>
          <w:szCs w:val="28"/>
        </w:rPr>
        <w:t>7</w:t>
      </w:r>
      <w:r w:rsidR="0012743F" w:rsidRPr="0012743F">
        <w:rPr>
          <w:rFonts w:ascii="仿宋_GB2312" w:eastAsia="仿宋_GB2312" w:hAnsi="仿宋" w:hint="eastAsia"/>
          <w:sz w:val="28"/>
          <w:szCs w:val="28"/>
        </w:rPr>
        <w:t>.</w:t>
      </w:r>
      <w:r w:rsidR="002347C2">
        <w:rPr>
          <w:rFonts w:ascii="仿宋_GB2312" w:eastAsia="仿宋_GB2312" w:hAnsi="仿宋" w:hint="eastAsia"/>
          <w:sz w:val="28"/>
          <w:szCs w:val="28"/>
        </w:rPr>
        <w:t>50</w:t>
      </w:r>
      <w:r w:rsidR="0012743F" w:rsidRPr="0012743F">
        <w:rPr>
          <w:rFonts w:ascii="仿宋_GB2312" w:eastAsia="仿宋_GB2312" w:hAnsi="仿宋" w:hint="eastAsia"/>
          <w:sz w:val="28"/>
          <w:szCs w:val="28"/>
        </w:rPr>
        <w:t>00.23.1）</w:t>
      </w:r>
      <w:r w:rsidR="00A509BE">
        <w:rPr>
          <w:rFonts w:ascii="仿宋_GB2312" w:eastAsia="仿宋_GB2312" w:hAnsi="仿宋" w:hint="eastAsia"/>
          <w:sz w:val="28"/>
          <w:szCs w:val="28"/>
        </w:rPr>
        <w:t>；</w:t>
      </w:r>
    </w:p>
    <w:p w:rsidR="00D66EBD" w:rsidRPr="00D66EBD" w:rsidRDefault="00D66EBD" w:rsidP="00D66EBD">
      <w:pPr>
        <w:pStyle w:val="a8"/>
        <w:spacing w:line="360" w:lineRule="auto"/>
        <w:ind w:left="0" w:right="0" w:firstLineChars="175" w:firstLine="490"/>
        <w:rPr>
          <w:rFonts w:ascii="仿宋" w:eastAsia="仿宋" w:hAnsi="仿宋"/>
          <w:sz w:val="28"/>
          <w:szCs w:val="28"/>
        </w:rPr>
      </w:pPr>
      <w:r w:rsidRPr="00D66EBD">
        <w:rPr>
          <w:rFonts w:ascii="仿宋" w:eastAsia="仿宋" w:hAnsi="仿宋" w:hint="eastAsia"/>
          <w:sz w:val="28"/>
          <w:szCs w:val="28"/>
        </w:rPr>
        <w:t>2、预留金100000.00元计入秦始皇帝陵博物院一二号坑考古保护平台（二期）项目设备安装工程其他项目暂列金额中。</w:t>
      </w:r>
    </w:p>
    <w:p w:rsidR="00D66EBD" w:rsidRPr="00D66EBD" w:rsidRDefault="00D66EBD" w:rsidP="00D66EBD">
      <w:pPr>
        <w:pStyle w:val="a8"/>
        <w:spacing w:line="360" w:lineRule="auto"/>
        <w:ind w:left="0" w:right="0" w:firstLineChars="177" w:firstLine="496"/>
        <w:rPr>
          <w:rFonts w:ascii="仿宋" w:eastAsia="仿宋" w:hAnsi="仿宋"/>
          <w:sz w:val="28"/>
          <w:szCs w:val="28"/>
        </w:rPr>
      </w:pPr>
      <w:r w:rsidRPr="00D66EBD">
        <w:rPr>
          <w:rFonts w:ascii="仿宋" w:eastAsia="仿宋" w:hAnsi="仿宋" w:hint="eastAsia"/>
          <w:sz w:val="28"/>
          <w:szCs w:val="28"/>
        </w:rPr>
        <w:t>3、清单中的所有清单内容均按成套考虑，包含安装、调试及其他与该清单有关的全部内容。</w:t>
      </w:r>
    </w:p>
    <w:p w:rsidR="00D66EBD" w:rsidRPr="00D66EBD" w:rsidRDefault="00D66EBD" w:rsidP="00D66EBD">
      <w:pPr>
        <w:pStyle w:val="a8"/>
        <w:spacing w:line="360" w:lineRule="auto"/>
        <w:ind w:left="0" w:right="0" w:firstLineChars="175" w:firstLine="490"/>
        <w:rPr>
          <w:rFonts w:ascii="仿宋" w:eastAsia="仿宋" w:hAnsi="仿宋"/>
          <w:sz w:val="28"/>
          <w:szCs w:val="28"/>
        </w:rPr>
      </w:pPr>
      <w:r w:rsidRPr="00D66EBD">
        <w:rPr>
          <w:rFonts w:ascii="仿宋" w:eastAsia="仿宋" w:hAnsi="仿宋" w:hint="eastAsia"/>
          <w:sz w:val="28"/>
          <w:szCs w:val="28"/>
        </w:rPr>
        <w:t>4、所有系统的系统调试与试运行记取在对应的系统设备中，不再单独记取。</w:t>
      </w:r>
    </w:p>
    <w:p w:rsidR="00D66EBD" w:rsidRPr="00D66EBD" w:rsidRDefault="00D66EBD" w:rsidP="00D66EBD">
      <w:pPr>
        <w:pStyle w:val="a8"/>
        <w:spacing w:line="360" w:lineRule="auto"/>
        <w:ind w:left="0" w:right="0" w:firstLineChars="175" w:firstLine="490"/>
        <w:rPr>
          <w:rFonts w:ascii="仿宋" w:eastAsia="仿宋" w:hAnsi="仿宋"/>
          <w:sz w:val="28"/>
          <w:szCs w:val="28"/>
        </w:rPr>
      </w:pPr>
      <w:r w:rsidRPr="00D66EBD">
        <w:rPr>
          <w:rFonts w:ascii="仿宋" w:eastAsia="仿宋" w:hAnsi="仿宋" w:hint="eastAsia"/>
          <w:sz w:val="28"/>
          <w:szCs w:val="28"/>
        </w:rPr>
        <w:t>5、本项目需考虑的文物保护及其他特殊措施费均包含在主体工程报价中。</w:t>
      </w:r>
    </w:p>
    <w:p w:rsidR="00D66EBD" w:rsidRPr="00D66EBD" w:rsidRDefault="00D66EBD" w:rsidP="00D66EBD">
      <w:pPr>
        <w:pStyle w:val="a8"/>
        <w:spacing w:line="360" w:lineRule="auto"/>
        <w:ind w:left="0" w:right="0" w:firstLineChars="175" w:firstLine="490"/>
        <w:rPr>
          <w:rFonts w:ascii="仿宋" w:eastAsia="仿宋" w:hAnsi="仿宋"/>
          <w:sz w:val="28"/>
          <w:szCs w:val="28"/>
        </w:rPr>
      </w:pPr>
      <w:r w:rsidRPr="00D66EBD">
        <w:rPr>
          <w:rFonts w:ascii="仿宋" w:eastAsia="仿宋" w:hAnsi="仿宋" w:hint="eastAsia"/>
          <w:sz w:val="28"/>
          <w:szCs w:val="28"/>
        </w:rPr>
        <w:t>6、清单描述只体现本项目综合解决方案的主要内容，</w:t>
      </w:r>
      <w:r w:rsidRPr="00D66EBD">
        <w:rPr>
          <w:rFonts w:ascii="仿宋" w:eastAsia="仿宋" w:hAnsi="仿宋" w:cs="Arial" w:hint="eastAsia"/>
          <w:sz w:val="28"/>
          <w:szCs w:val="28"/>
        </w:rPr>
        <w:t>其他未尽事宜详见招标文件、综合解决方案、甲方的具体要求、相关图集及施工验收规范等。</w:t>
      </w:r>
    </w:p>
    <w:p w:rsidR="00D66EBD" w:rsidRPr="00D66EBD" w:rsidRDefault="00D66EBD" w:rsidP="00D66EBD">
      <w:pPr>
        <w:pStyle w:val="a8"/>
        <w:spacing w:line="360" w:lineRule="auto"/>
        <w:ind w:left="0" w:right="0" w:firstLineChars="175" w:firstLine="490"/>
        <w:rPr>
          <w:rFonts w:ascii="仿宋" w:eastAsia="仿宋" w:hAnsi="仿宋"/>
          <w:sz w:val="28"/>
          <w:szCs w:val="28"/>
        </w:rPr>
      </w:pPr>
      <w:r w:rsidRPr="00D66EBD">
        <w:rPr>
          <w:rFonts w:ascii="仿宋" w:eastAsia="仿宋" w:hAnsi="仿宋" w:hint="eastAsia"/>
          <w:sz w:val="28"/>
          <w:szCs w:val="28"/>
        </w:rPr>
        <w:t>7、施工方需自行勘查现场，充分考虑设备系统安装中的相关因素，对设备、系统安装中所需的所有配管、线缆、基础、软件等，施工方自行考虑到对应的设备中，不再另行计价。</w:t>
      </w:r>
    </w:p>
    <w:p w:rsidR="007E185C" w:rsidRPr="00D66EBD" w:rsidRDefault="00D37962" w:rsidP="00D66EBD">
      <w:pPr>
        <w:tabs>
          <w:tab w:val="left" w:pos="600"/>
        </w:tabs>
        <w:spacing w:line="360" w:lineRule="auto"/>
        <w:rPr>
          <w:rFonts w:ascii="仿宋" w:eastAsia="仿宋" w:hAnsi="仿宋"/>
          <w:color w:val="000000"/>
          <w:spacing w:val="6"/>
          <w:sz w:val="28"/>
          <w:szCs w:val="28"/>
        </w:rPr>
      </w:pPr>
      <w:r w:rsidRPr="00D66EBD">
        <w:rPr>
          <w:rFonts w:ascii="仿宋" w:eastAsia="仿宋" w:hAnsi="仿宋" w:hint="eastAsia"/>
          <w:color w:val="000000"/>
          <w:spacing w:val="6"/>
          <w:sz w:val="28"/>
          <w:szCs w:val="28"/>
        </w:rPr>
        <w:t xml:space="preserve">    </w:t>
      </w:r>
    </w:p>
    <w:p w:rsidR="007E185C" w:rsidRPr="007E185C" w:rsidRDefault="007E185C" w:rsidP="007E185C">
      <w:pPr>
        <w:widowControl/>
        <w:tabs>
          <w:tab w:val="left" w:pos="600"/>
        </w:tabs>
        <w:spacing w:line="640" w:lineRule="exact"/>
        <w:ind w:firstLineChars="1000" w:firstLine="3000"/>
        <w:jc w:val="left"/>
        <w:rPr>
          <w:rFonts w:ascii="仿宋" w:eastAsia="仿宋" w:hAnsi="仿宋" w:cs="Times New Roman"/>
          <w:color w:val="000000"/>
          <w:spacing w:val="6"/>
          <w:kern w:val="0"/>
          <w:sz w:val="30"/>
          <w:szCs w:val="30"/>
        </w:rPr>
      </w:pPr>
      <w:r w:rsidRPr="007E185C">
        <w:rPr>
          <w:rFonts w:ascii="仿宋" w:eastAsia="仿宋" w:hAnsi="仿宋" w:cs="黑体" w:hint="eastAsia"/>
          <w:bCs/>
          <w:kern w:val="0"/>
          <w:sz w:val="30"/>
          <w:szCs w:val="30"/>
        </w:rPr>
        <w:t>陕西万隆金剑工程管理咨询有限公司</w:t>
      </w:r>
    </w:p>
    <w:p w:rsidR="007E185C" w:rsidRPr="00D66EBD" w:rsidRDefault="007E185C" w:rsidP="00D66EBD">
      <w:pPr>
        <w:widowControl/>
        <w:tabs>
          <w:tab w:val="left" w:pos="600"/>
        </w:tabs>
        <w:spacing w:line="640" w:lineRule="exact"/>
        <w:jc w:val="left"/>
        <w:rPr>
          <w:rFonts w:ascii="仿宋_GB2312" w:eastAsia="仿宋_GB2312" w:hAnsi="仿宋" w:cs="Times New Roman"/>
          <w:color w:val="000000"/>
          <w:spacing w:val="6"/>
          <w:kern w:val="0"/>
          <w:sz w:val="28"/>
          <w:szCs w:val="28"/>
        </w:rPr>
      </w:pPr>
    </w:p>
    <w:p w:rsidR="007E185C" w:rsidRPr="007E185C" w:rsidRDefault="007E185C" w:rsidP="007E185C">
      <w:pPr>
        <w:widowControl/>
        <w:jc w:val="left"/>
        <w:rPr>
          <w:rFonts w:ascii="仿宋_GB2312" w:eastAsia="仿宋_GB2312" w:hAnsi="仿宋" w:cs="Times New Roman"/>
          <w:color w:val="000000"/>
          <w:spacing w:val="6"/>
          <w:kern w:val="0"/>
          <w:sz w:val="30"/>
          <w:szCs w:val="30"/>
        </w:rPr>
      </w:pPr>
      <w:r w:rsidRPr="007E185C">
        <w:rPr>
          <w:rFonts w:ascii="仿宋_GB2312" w:eastAsia="仿宋_GB2312" w:hAnsi="仿宋" w:cs="Times New Roman" w:hint="eastAsia"/>
          <w:color w:val="000000"/>
          <w:spacing w:val="6"/>
          <w:kern w:val="0"/>
          <w:sz w:val="28"/>
          <w:szCs w:val="28"/>
        </w:rPr>
        <w:t xml:space="preserve">                                     </w:t>
      </w:r>
      <w:r w:rsidRPr="007E185C">
        <w:rPr>
          <w:rFonts w:ascii="仿宋_GB2312" w:eastAsia="仿宋_GB2312" w:hAnsi="仿宋" w:cs="Times New Roman" w:hint="eastAsia"/>
          <w:color w:val="000000"/>
          <w:spacing w:val="6"/>
          <w:kern w:val="0"/>
          <w:sz w:val="30"/>
          <w:szCs w:val="30"/>
        </w:rPr>
        <w:t>20</w:t>
      </w:r>
      <w:r>
        <w:rPr>
          <w:rFonts w:ascii="仿宋_GB2312" w:eastAsia="仿宋_GB2312" w:hAnsi="仿宋" w:cs="Times New Roman" w:hint="eastAsia"/>
          <w:color w:val="000000"/>
          <w:spacing w:val="6"/>
          <w:kern w:val="0"/>
          <w:sz w:val="30"/>
          <w:szCs w:val="30"/>
        </w:rPr>
        <w:t>2</w:t>
      </w:r>
      <w:r w:rsidR="002347C2">
        <w:rPr>
          <w:rFonts w:ascii="仿宋_GB2312" w:eastAsia="仿宋_GB2312" w:hAnsi="仿宋" w:cs="Times New Roman" w:hint="eastAsia"/>
          <w:color w:val="000000"/>
          <w:spacing w:val="6"/>
          <w:kern w:val="0"/>
          <w:sz w:val="30"/>
          <w:szCs w:val="30"/>
        </w:rPr>
        <w:t>5</w:t>
      </w:r>
      <w:r w:rsidRPr="007E185C">
        <w:rPr>
          <w:rFonts w:ascii="仿宋_GB2312" w:eastAsia="仿宋_GB2312" w:hAnsi="仿宋" w:cs="Times New Roman" w:hint="eastAsia"/>
          <w:color w:val="000000"/>
          <w:spacing w:val="6"/>
          <w:kern w:val="0"/>
          <w:sz w:val="30"/>
          <w:szCs w:val="30"/>
        </w:rPr>
        <w:t>年</w:t>
      </w:r>
      <w:r w:rsidR="00D66EBD">
        <w:rPr>
          <w:rFonts w:ascii="仿宋_GB2312" w:eastAsia="仿宋_GB2312" w:hAnsi="仿宋" w:cs="Times New Roman" w:hint="eastAsia"/>
          <w:color w:val="000000"/>
          <w:spacing w:val="6"/>
          <w:kern w:val="0"/>
          <w:sz w:val="30"/>
          <w:szCs w:val="30"/>
        </w:rPr>
        <w:t>9</w:t>
      </w:r>
      <w:r w:rsidRPr="007E185C">
        <w:rPr>
          <w:rFonts w:ascii="仿宋_GB2312" w:eastAsia="仿宋_GB2312" w:hAnsi="仿宋" w:cs="Times New Roman" w:hint="eastAsia"/>
          <w:color w:val="000000"/>
          <w:spacing w:val="6"/>
          <w:kern w:val="0"/>
          <w:sz w:val="30"/>
          <w:szCs w:val="30"/>
        </w:rPr>
        <w:t>月</w:t>
      </w:r>
      <w:r w:rsidR="00D66EBD">
        <w:rPr>
          <w:rFonts w:ascii="仿宋_GB2312" w:eastAsia="仿宋_GB2312" w:hAnsi="仿宋" w:cs="Times New Roman" w:hint="eastAsia"/>
          <w:color w:val="000000"/>
          <w:spacing w:val="6"/>
          <w:kern w:val="0"/>
          <w:sz w:val="30"/>
          <w:szCs w:val="30"/>
        </w:rPr>
        <w:t>2</w:t>
      </w:r>
      <w:r w:rsidRPr="007E185C">
        <w:rPr>
          <w:rFonts w:ascii="仿宋_GB2312" w:eastAsia="仿宋_GB2312" w:hAnsi="仿宋" w:cs="Times New Roman" w:hint="eastAsia"/>
          <w:color w:val="000000"/>
          <w:spacing w:val="6"/>
          <w:kern w:val="0"/>
          <w:sz w:val="30"/>
          <w:szCs w:val="30"/>
        </w:rPr>
        <w:t>日</w:t>
      </w:r>
    </w:p>
    <w:p w:rsidR="007E185C" w:rsidRPr="007E185C" w:rsidRDefault="007E185C" w:rsidP="007E185C">
      <w:pPr>
        <w:widowControl/>
        <w:tabs>
          <w:tab w:val="left" w:pos="600"/>
        </w:tabs>
        <w:spacing w:line="640" w:lineRule="exact"/>
        <w:jc w:val="left"/>
        <w:rPr>
          <w:rFonts w:ascii="仿宋" w:eastAsia="仿宋" w:hAnsi="仿宋" w:cs="Times New Roman"/>
          <w:color w:val="000000"/>
          <w:spacing w:val="6"/>
          <w:kern w:val="0"/>
          <w:sz w:val="30"/>
          <w:szCs w:val="30"/>
        </w:rPr>
      </w:pPr>
    </w:p>
    <w:p w:rsidR="00A509BE" w:rsidRPr="00D40D39" w:rsidRDefault="00A509BE" w:rsidP="00143A69">
      <w:pPr>
        <w:pStyle w:val="Default"/>
        <w:ind w:leftChars="200" w:left="420"/>
        <w:rPr>
          <w:rFonts w:ascii="仿宋" w:eastAsia="仿宋" w:hAnsi="仿宋" w:cs="宋体"/>
          <w:sz w:val="28"/>
          <w:szCs w:val="28"/>
        </w:rPr>
      </w:pPr>
    </w:p>
    <w:p w:rsidR="00143A69" w:rsidRPr="00672E30" w:rsidRDefault="00143A69" w:rsidP="00143A69">
      <w:pPr>
        <w:pStyle w:val="Default"/>
        <w:ind w:leftChars="200" w:left="420"/>
        <w:rPr>
          <w:rFonts w:ascii="仿宋" w:eastAsia="仿宋" w:hAnsi="仿宋" w:cs="宋体"/>
          <w:sz w:val="28"/>
          <w:szCs w:val="28"/>
        </w:rPr>
      </w:pPr>
    </w:p>
    <w:p w:rsidR="00694B5C" w:rsidRPr="00672E30" w:rsidRDefault="00694B5C">
      <w:pPr>
        <w:pStyle w:val="a3"/>
        <w:widowControl/>
        <w:spacing w:beforeAutospacing="0" w:afterAutospacing="0"/>
        <w:rPr>
          <w:rFonts w:ascii="仿宋" w:eastAsia="仿宋" w:hAnsi="仿宋"/>
        </w:rPr>
      </w:pPr>
    </w:p>
    <w:p w:rsidR="00280495" w:rsidRPr="00672E30" w:rsidRDefault="00280495">
      <w:pPr>
        <w:pStyle w:val="a3"/>
        <w:widowControl/>
        <w:spacing w:beforeAutospacing="0" w:afterAutospacing="0"/>
        <w:rPr>
          <w:rFonts w:ascii="仿宋" w:eastAsia="仿宋" w:hAnsi="仿宋" w:cs="宋体"/>
          <w:sz w:val="22"/>
          <w:szCs w:val="22"/>
        </w:rPr>
      </w:pPr>
    </w:p>
    <w:p w:rsidR="00280495" w:rsidRPr="00672E30" w:rsidRDefault="00280495">
      <w:pPr>
        <w:pStyle w:val="a3"/>
        <w:widowControl/>
        <w:spacing w:beforeAutospacing="0" w:afterAutospacing="0"/>
        <w:rPr>
          <w:rFonts w:ascii="仿宋" w:eastAsia="仿宋" w:hAnsi="仿宋" w:cs="宋体"/>
          <w:sz w:val="22"/>
          <w:szCs w:val="22"/>
        </w:rPr>
      </w:pPr>
    </w:p>
    <w:p w:rsidR="00280495" w:rsidRPr="00672E30" w:rsidRDefault="00280495">
      <w:pPr>
        <w:pStyle w:val="a3"/>
        <w:widowControl/>
        <w:spacing w:beforeAutospacing="0" w:afterAutospacing="0"/>
        <w:rPr>
          <w:rFonts w:ascii="仿宋" w:eastAsia="仿宋" w:hAnsi="仿宋" w:cs="宋体"/>
          <w:sz w:val="22"/>
          <w:szCs w:val="22"/>
        </w:rPr>
      </w:pPr>
    </w:p>
    <w:p w:rsidR="00280495" w:rsidRPr="00672E30" w:rsidRDefault="00280495">
      <w:pPr>
        <w:pStyle w:val="a3"/>
        <w:widowControl/>
        <w:spacing w:beforeAutospacing="0" w:afterAutospacing="0"/>
        <w:rPr>
          <w:rFonts w:ascii="仿宋" w:eastAsia="仿宋" w:hAnsi="仿宋"/>
        </w:rPr>
      </w:pPr>
    </w:p>
    <w:p w:rsidR="00280495" w:rsidRPr="00672E30" w:rsidRDefault="00280495">
      <w:pPr>
        <w:pStyle w:val="a3"/>
        <w:widowControl/>
        <w:spacing w:beforeAutospacing="0" w:afterAutospacing="0"/>
        <w:ind w:firstLineChars="200" w:firstLine="480"/>
        <w:rPr>
          <w:rFonts w:ascii="仿宋" w:eastAsia="仿宋" w:hAnsi="仿宋"/>
        </w:rPr>
      </w:pPr>
    </w:p>
    <w:p w:rsidR="00280495" w:rsidRPr="00672E30" w:rsidRDefault="00280495">
      <w:pPr>
        <w:pStyle w:val="a3"/>
        <w:widowControl/>
        <w:spacing w:beforeAutospacing="0" w:afterAutospacing="0"/>
        <w:rPr>
          <w:rFonts w:ascii="仿宋" w:eastAsia="仿宋" w:hAnsi="仿宋"/>
        </w:rPr>
      </w:pPr>
    </w:p>
    <w:p w:rsidR="00280495" w:rsidRPr="00672E30" w:rsidRDefault="00280495">
      <w:pPr>
        <w:rPr>
          <w:rFonts w:ascii="仿宋" w:eastAsia="仿宋" w:hAnsi="仿宋"/>
        </w:rPr>
      </w:pPr>
    </w:p>
    <w:sectPr w:rsidR="00280495" w:rsidRPr="00672E30" w:rsidSect="002804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735" w:rsidRDefault="00261735" w:rsidP="00694B5C">
      <w:r>
        <w:separator/>
      </w:r>
    </w:p>
  </w:endnote>
  <w:endnote w:type="continuationSeparator" w:id="0">
    <w:p w:rsidR="00261735" w:rsidRDefault="00261735" w:rsidP="0069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735" w:rsidRDefault="00261735" w:rsidP="00694B5C">
      <w:r>
        <w:separator/>
      </w:r>
    </w:p>
  </w:footnote>
  <w:footnote w:type="continuationSeparator" w:id="0">
    <w:p w:rsidR="00261735" w:rsidRDefault="00261735" w:rsidP="00694B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21D18"/>
    <w:multiLevelType w:val="hybridMultilevel"/>
    <w:tmpl w:val="AC62AC76"/>
    <w:lvl w:ilvl="0" w:tplc="0372665E">
      <w:start w:val="4"/>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nsid w:val="696ED6E5"/>
    <w:multiLevelType w:val="singleLevel"/>
    <w:tmpl w:val="696ED6E5"/>
    <w:lvl w:ilvl="0">
      <w:start w:val="1"/>
      <w:numFmt w:val="decimal"/>
      <w:suff w:val="nothing"/>
      <w:lvlText w:val="%1、"/>
      <w:lvlJc w:val="left"/>
    </w:lvl>
  </w:abstractNum>
  <w:abstractNum w:abstractNumId="2">
    <w:nsid w:val="72781956"/>
    <w:multiLevelType w:val="singleLevel"/>
    <w:tmpl w:val="72781956"/>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F64E7"/>
    <w:rsid w:val="00004E97"/>
    <w:rsid w:val="00012C5C"/>
    <w:rsid w:val="00017EF0"/>
    <w:rsid w:val="00071E5F"/>
    <w:rsid w:val="00072F9C"/>
    <w:rsid w:val="000A4407"/>
    <w:rsid w:val="000C135C"/>
    <w:rsid w:val="000E7F95"/>
    <w:rsid w:val="00100EB7"/>
    <w:rsid w:val="00110BCE"/>
    <w:rsid w:val="00114B92"/>
    <w:rsid w:val="0012743F"/>
    <w:rsid w:val="00143A69"/>
    <w:rsid w:val="00153CD1"/>
    <w:rsid w:val="00153CE2"/>
    <w:rsid w:val="00165AD4"/>
    <w:rsid w:val="00186357"/>
    <w:rsid w:val="001E20F2"/>
    <w:rsid w:val="002347C2"/>
    <w:rsid w:val="00241583"/>
    <w:rsid w:val="00255D41"/>
    <w:rsid w:val="00260B6E"/>
    <w:rsid w:val="00261735"/>
    <w:rsid w:val="00266980"/>
    <w:rsid w:val="00280495"/>
    <w:rsid w:val="00316E3A"/>
    <w:rsid w:val="00333E6C"/>
    <w:rsid w:val="00352AA5"/>
    <w:rsid w:val="003B54CD"/>
    <w:rsid w:val="003B6ABF"/>
    <w:rsid w:val="00441BB2"/>
    <w:rsid w:val="004460AB"/>
    <w:rsid w:val="00452BF8"/>
    <w:rsid w:val="00460DF1"/>
    <w:rsid w:val="00471A36"/>
    <w:rsid w:val="00473367"/>
    <w:rsid w:val="004742B1"/>
    <w:rsid w:val="00492F5F"/>
    <w:rsid w:val="004C08AF"/>
    <w:rsid w:val="004C7628"/>
    <w:rsid w:val="00535EFB"/>
    <w:rsid w:val="0054292B"/>
    <w:rsid w:val="005671A7"/>
    <w:rsid w:val="0057354C"/>
    <w:rsid w:val="005D439F"/>
    <w:rsid w:val="00667D42"/>
    <w:rsid w:val="00672E30"/>
    <w:rsid w:val="006901D1"/>
    <w:rsid w:val="00694B5C"/>
    <w:rsid w:val="006B7D9C"/>
    <w:rsid w:val="006F0DDC"/>
    <w:rsid w:val="0074357F"/>
    <w:rsid w:val="0078487C"/>
    <w:rsid w:val="007A4052"/>
    <w:rsid w:val="007C483A"/>
    <w:rsid w:val="007E185C"/>
    <w:rsid w:val="007F0F79"/>
    <w:rsid w:val="00877454"/>
    <w:rsid w:val="008945E1"/>
    <w:rsid w:val="008A7CD8"/>
    <w:rsid w:val="009147EE"/>
    <w:rsid w:val="009D0368"/>
    <w:rsid w:val="00A509BE"/>
    <w:rsid w:val="00A614C4"/>
    <w:rsid w:val="00A645FE"/>
    <w:rsid w:val="00A87CFA"/>
    <w:rsid w:val="00A9389E"/>
    <w:rsid w:val="00AE028A"/>
    <w:rsid w:val="00AE621D"/>
    <w:rsid w:val="00AE6528"/>
    <w:rsid w:val="00B02FCF"/>
    <w:rsid w:val="00B505F0"/>
    <w:rsid w:val="00B512ED"/>
    <w:rsid w:val="00B7446C"/>
    <w:rsid w:val="00B81B02"/>
    <w:rsid w:val="00B95EA7"/>
    <w:rsid w:val="00BE3B0F"/>
    <w:rsid w:val="00CB0CE5"/>
    <w:rsid w:val="00D10FC0"/>
    <w:rsid w:val="00D37962"/>
    <w:rsid w:val="00D40D39"/>
    <w:rsid w:val="00D5348F"/>
    <w:rsid w:val="00D53C75"/>
    <w:rsid w:val="00D66EBD"/>
    <w:rsid w:val="00D86285"/>
    <w:rsid w:val="00DB55D3"/>
    <w:rsid w:val="00E30F1E"/>
    <w:rsid w:val="00E74278"/>
    <w:rsid w:val="00E77381"/>
    <w:rsid w:val="00EB01BE"/>
    <w:rsid w:val="00EF2FE1"/>
    <w:rsid w:val="00F400E8"/>
    <w:rsid w:val="00F628E7"/>
    <w:rsid w:val="00FC77D1"/>
    <w:rsid w:val="00FE193B"/>
    <w:rsid w:val="486F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lock Text"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049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80495"/>
    <w:pPr>
      <w:spacing w:beforeAutospacing="1" w:afterAutospacing="1"/>
      <w:jc w:val="left"/>
    </w:pPr>
    <w:rPr>
      <w:rFonts w:cs="Times New Roman"/>
      <w:kern w:val="0"/>
      <w:sz w:val="24"/>
    </w:rPr>
  </w:style>
  <w:style w:type="paragraph" w:styleId="a4">
    <w:name w:val="header"/>
    <w:basedOn w:val="a"/>
    <w:link w:val="Char"/>
    <w:rsid w:val="00694B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94B5C"/>
    <w:rPr>
      <w:rFonts w:asciiTheme="minorHAnsi" w:eastAsiaTheme="minorEastAsia" w:hAnsiTheme="minorHAnsi" w:cstheme="minorBidi"/>
      <w:kern w:val="2"/>
      <w:sz w:val="18"/>
      <w:szCs w:val="18"/>
    </w:rPr>
  </w:style>
  <w:style w:type="paragraph" w:styleId="a5">
    <w:name w:val="footer"/>
    <w:basedOn w:val="a"/>
    <w:link w:val="Char0"/>
    <w:rsid w:val="00694B5C"/>
    <w:pPr>
      <w:tabs>
        <w:tab w:val="center" w:pos="4153"/>
        <w:tab w:val="right" w:pos="8306"/>
      </w:tabs>
      <w:snapToGrid w:val="0"/>
      <w:jc w:val="left"/>
    </w:pPr>
    <w:rPr>
      <w:sz w:val="18"/>
      <w:szCs w:val="18"/>
    </w:rPr>
  </w:style>
  <w:style w:type="character" w:customStyle="1" w:styleId="Char0">
    <w:name w:val="页脚 Char"/>
    <w:basedOn w:val="a0"/>
    <w:link w:val="a5"/>
    <w:rsid w:val="00694B5C"/>
    <w:rPr>
      <w:rFonts w:asciiTheme="minorHAnsi" w:eastAsiaTheme="minorEastAsia" w:hAnsiTheme="minorHAnsi" w:cstheme="minorBidi"/>
      <w:kern w:val="2"/>
      <w:sz w:val="18"/>
      <w:szCs w:val="18"/>
    </w:rPr>
  </w:style>
  <w:style w:type="paragraph" w:customStyle="1" w:styleId="Default">
    <w:name w:val="Default"/>
    <w:qFormat/>
    <w:rsid w:val="00694B5C"/>
    <w:pPr>
      <w:widowControl w:val="0"/>
      <w:autoSpaceDE w:val="0"/>
      <w:autoSpaceDN w:val="0"/>
      <w:adjustRightInd w:val="0"/>
    </w:pPr>
    <w:rPr>
      <w:rFonts w:ascii="黑体" w:eastAsia="黑体" w:cs="黑体"/>
      <w:color w:val="000000"/>
      <w:sz w:val="24"/>
      <w:szCs w:val="24"/>
    </w:rPr>
  </w:style>
  <w:style w:type="table" w:styleId="a6">
    <w:name w:val="Table Grid"/>
    <w:basedOn w:val="a1"/>
    <w:rsid w:val="00694B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unhideWhenUsed/>
    <w:rsid w:val="00D66EBD"/>
    <w:pPr>
      <w:ind w:firstLineChars="200" w:firstLine="420"/>
    </w:pPr>
  </w:style>
  <w:style w:type="paragraph" w:styleId="a8">
    <w:name w:val="Block Text"/>
    <w:basedOn w:val="a"/>
    <w:uiPriority w:val="99"/>
    <w:qFormat/>
    <w:rsid w:val="00D66EBD"/>
    <w:pPr>
      <w:adjustRightInd w:val="0"/>
      <w:ind w:left="420" w:right="33"/>
      <w:jc w:val="left"/>
      <w:textAlignment w:val="baseline"/>
    </w:pPr>
    <w:rPr>
      <w:rFonts w:ascii="Times New Roman"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lock Text"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8049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80495"/>
    <w:pPr>
      <w:spacing w:beforeAutospacing="1" w:afterAutospacing="1"/>
      <w:jc w:val="left"/>
    </w:pPr>
    <w:rPr>
      <w:rFonts w:cs="Times New Roman"/>
      <w:kern w:val="0"/>
      <w:sz w:val="24"/>
    </w:rPr>
  </w:style>
  <w:style w:type="paragraph" w:styleId="a4">
    <w:name w:val="header"/>
    <w:basedOn w:val="a"/>
    <w:link w:val="Char"/>
    <w:rsid w:val="00694B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94B5C"/>
    <w:rPr>
      <w:rFonts w:asciiTheme="minorHAnsi" w:eastAsiaTheme="minorEastAsia" w:hAnsiTheme="minorHAnsi" w:cstheme="minorBidi"/>
      <w:kern w:val="2"/>
      <w:sz w:val="18"/>
      <w:szCs w:val="18"/>
    </w:rPr>
  </w:style>
  <w:style w:type="paragraph" w:styleId="a5">
    <w:name w:val="footer"/>
    <w:basedOn w:val="a"/>
    <w:link w:val="Char0"/>
    <w:rsid w:val="00694B5C"/>
    <w:pPr>
      <w:tabs>
        <w:tab w:val="center" w:pos="4153"/>
        <w:tab w:val="right" w:pos="8306"/>
      </w:tabs>
      <w:snapToGrid w:val="0"/>
      <w:jc w:val="left"/>
    </w:pPr>
    <w:rPr>
      <w:sz w:val="18"/>
      <w:szCs w:val="18"/>
    </w:rPr>
  </w:style>
  <w:style w:type="character" w:customStyle="1" w:styleId="Char0">
    <w:name w:val="页脚 Char"/>
    <w:basedOn w:val="a0"/>
    <w:link w:val="a5"/>
    <w:rsid w:val="00694B5C"/>
    <w:rPr>
      <w:rFonts w:asciiTheme="minorHAnsi" w:eastAsiaTheme="minorEastAsia" w:hAnsiTheme="minorHAnsi" w:cstheme="minorBidi"/>
      <w:kern w:val="2"/>
      <w:sz w:val="18"/>
      <w:szCs w:val="18"/>
    </w:rPr>
  </w:style>
  <w:style w:type="paragraph" w:customStyle="1" w:styleId="Default">
    <w:name w:val="Default"/>
    <w:qFormat/>
    <w:rsid w:val="00694B5C"/>
    <w:pPr>
      <w:widowControl w:val="0"/>
      <w:autoSpaceDE w:val="0"/>
      <w:autoSpaceDN w:val="0"/>
      <w:adjustRightInd w:val="0"/>
    </w:pPr>
    <w:rPr>
      <w:rFonts w:ascii="黑体" w:eastAsia="黑体" w:cs="黑体"/>
      <w:color w:val="000000"/>
      <w:sz w:val="24"/>
      <w:szCs w:val="24"/>
    </w:rPr>
  </w:style>
  <w:style w:type="table" w:styleId="a6">
    <w:name w:val="Table Grid"/>
    <w:basedOn w:val="a1"/>
    <w:rsid w:val="00694B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unhideWhenUsed/>
    <w:rsid w:val="00D66EBD"/>
    <w:pPr>
      <w:ind w:firstLineChars="200" w:firstLine="420"/>
    </w:pPr>
  </w:style>
  <w:style w:type="paragraph" w:styleId="a8">
    <w:name w:val="Block Text"/>
    <w:basedOn w:val="a"/>
    <w:uiPriority w:val="99"/>
    <w:qFormat/>
    <w:rsid w:val="00D66EBD"/>
    <w:pPr>
      <w:adjustRightInd w:val="0"/>
      <w:ind w:left="420" w:right="33"/>
      <w:jc w:val="left"/>
      <w:textAlignment w:val="baseline"/>
    </w:pPr>
    <w:rPr>
      <w:rFonts w:ascii="Times New Roman"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532637">
      <w:bodyDiv w:val="1"/>
      <w:marLeft w:val="0"/>
      <w:marRight w:val="0"/>
      <w:marTop w:val="0"/>
      <w:marBottom w:val="0"/>
      <w:divBdr>
        <w:top w:val="none" w:sz="0" w:space="0" w:color="auto"/>
        <w:left w:val="none" w:sz="0" w:space="0" w:color="auto"/>
        <w:bottom w:val="none" w:sz="0" w:space="0" w:color="auto"/>
        <w:right w:val="none" w:sz="0" w:space="0" w:color="auto"/>
      </w:divBdr>
    </w:div>
    <w:div w:id="414788457">
      <w:bodyDiv w:val="1"/>
      <w:marLeft w:val="0"/>
      <w:marRight w:val="0"/>
      <w:marTop w:val="0"/>
      <w:marBottom w:val="0"/>
      <w:divBdr>
        <w:top w:val="none" w:sz="0" w:space="0" w:color="auto"/>
        <w:left w:val="none" w:sz="0" w:space="0" w:color="auto"/>
        <w:bottom w:val="none" w:sz="0" w:space="0" w:color="auto"/>
        <w:right w:val="none" w:sz="0" w:space="0" w:color="auto"/>
      </w:divBdr>
    </w:div>
    <w:div w:id="986544071">
      <w:bodyDiv w:val="1"/>
      <w:marLeft w:val="0"/>
      <w:marRight w:val="0"/>
      <w:marTop w:val="0"/>
      <w:marBottom w:val="0"/>
      <w:divBdr>
        <w:top w:val="none" w:sz="0" w:space="0" w:color="auto"/>
        <w:left w:val="none" w:sz="0" w:space="0" w:color="auto"/>
        <w:bottom w:val="none" w:sz="0" w:space="0" w:color="auto"/>
        <w:right w:val="none" w:sz="0" w:space="0" w:color="auto"/>
      </w:divBdr>
    </w:div>
    <w:div w:id="1063917013">
      <w:bodyDiv w:val="1"/>
      <w:marLeft w:val="0"/>
      <w:marRight w:val="0"/>
      <w:marTop w:val="0"/>
      <w:marBottom w:val="0"/>
      <w:divBdr>
        <w:top w:val="none" w:sz="0" w:space="0" w:color="auto"/>
        <w:left w:val="none" w:sz="0" w:space="0" w:color="auto"/>
        <w:bottom w:val="none" w:sz="0" w:space="0" w:color="auto"/>
        <w:right w:val="none" w:sz="0" w:space="0" w:color="auto"/>
      </w:divBdr>
    </w:div>
    <w:div w:id="1336567367">
      <w:bodyDiv w:val="1"/>
      <w:marLeft w:val="0"/>
      <w:marRight w:val="0"/>
      <w:marTop w:val="0"/>
      <w:marBottom w:val="0"/>
      <w:divBdr>
        <w:top w:val="none" w:sz="0" w:space="0" w:color="auto"/>
        <w:left w:val="none" w:sz="0" w:space="0" w:color="auto"/>
        <w:bottom w:val="none" w:sz="0" w:space="0" w:color="auto"/>
        <w:right w:val="none" w:sz="0" w:space="0" w:color="auto"/>
      </w:divBdr>
    </w:div>
    <w:div w:id="1375036819">
      <w:bodyDiv w:val="1"/>
      <w:marLeft w:val="0"/>
      <w:marRight w:val="0"/>
      <w:marTop w:val="0"/>
      <w:marBottom w:val="0"/>
      <w:divBdr>
        <w:top w:val="none" w:sz="0" w:space="0" w:color="auto"/>
        <w:left w:val="none" w:sz="0" w:space="0" w:color="auto"/>
        <w:bottom w:val="none" w:sz="0" w:space="0" w:color="auto"/>
        <w:right w:val="none" w:sz="0" w:space="0" w:color="auto"/>
      </w:divBdr>
    </w:div>
    <w:div w:id="1896619245">
      <w:bodyDiv w:val="1"/>
      <w:marLeft w:val="0"/>
      <w:marRight w:val="0"/>
      <w:marTop w:val="0"/>
      <w:marBottom w:val="0"/>
      <w:divBdr>
        <w:top w:val="none" w:sz="0" w:space="0" w:color="auto"/>
        <w:left w:val="none" w:sz="0" w:space="0" w:color="auto"/>
        <w:bottom w:val="none" w:sz="0" w:space="0" w:color="auto"/>
        <w:right w:val="none" w:sz="0" w:space="0" w:color="auto"/>
      </w:divBdr>
    </w:div>
    <w:div w:id="19442618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Words>
  <Characters>780</Characters>
  <Application>Microsoft Office Word</Application>
  <DocSecurity>0</DocSecurity>
  <Lines>6</Lines>
  <Paragraphs>1</Paragraphs>
  <ScaleCrop>false</ScaleCrop>
  <Company>Lenovo.com</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郝小霞</dc:creator>
  <cp:lastModifiedBy>Customer</cp:lastModifiedBy>
  <cp:revision>2</cp:revision>
  <dcterms:created xsi:type="dcterms:W3CDTF">2025-09-04T02:28:00Z</dcterms:created>
  <dcterms:modified xsi:type="dcterms:W3CDTF">2025-09-04T02:28:00Z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