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34C42">
      <w:pPr>
        <w:adjustRightInd w:val="0"/>
        <w:snapToGrid w:val="0"/>
        <w:spacing w:line="360" w:lineRule="auto"/>
        <w:ind w:firstLine="560" w:firstLineChars="200"/>
        <w:rPr>
          <w:rFonts w:hint="eastAsia" w:ascii="宋体" w:hAnsi="宋体" w:eastAsia="宋体" w:cs="宋体"/>
          <w:sz w:val="28"/>
          <w:szCs w:val="28"/>
        </w:rPr>
      </w:pPr>
      <w:bookmarkStart w:id="0" w:name="_Toc499630465"/>
      <w:bookmarkStart w:id="1" w:name="_Toc981333"/>
      <w:bookmarkStart w:id="2" w:name="_Toc18754"/>
      <w:bookmarkStart w:id="3" w:name="_Toc13758"/>
      <w:r>
        <w:rPr>
          <w:rFonts w:hint="eastAsia" w:ascii="宋体" w:hAnsi="宋体" w:eastAsia="宋体" w:cs="宋体"/>
          <w:sz w:val="28"/>
          <w:szCs w:val="28"/>
        </w:rPr>
        <w:t>（本格式条款供</w:t>
      </w:r>
      <w:r>
        <w:rPr>
          <w:rFonts w:hint="eastAsia" w:ascii="宋体" w:hAnsi="宋体" w:eastAsia="宋体" w:cs="宋体"/>
          <w:sz w:val="28"/>
          <w:szCs w:val="28"/>
          <w:lang w:eastAsia="zh-CN"/>
        </w:rPr>
        <w:t>招标人</w:t>
      </w:r>
      <w:r>
        <w:rPr>
          <w:rFonts w:hint="eastAsia" w:ascii="宋体" w:hAnsi="宋体" w:eastAsia="宋体" w:cs="宋体"/>
          <w:sz w:val="28"/>
          <w:szCs w:val="28"/>
        </w:rPr>
        <w:t>和成交供应商双方签订合同参考，最终以</w:t>
      </w:r>
      <w:r>
        <w:rPr>
          <w:rFonts w:hint="eastAsia" w:ascii="宋体" w:hAnsi="宋体" w:eastAsia="宋体" w:cs="宋体"/>
          <w:sz w:val="28"/>
          <w:szCs w:val="28"/>
          <w:lang w:eastAsia="zh-CN"/>
        </w:rPr>
        <w:t>招标人</w:t>
      </w:r>
      <w:r>
        <w:rPr>
          <w:rFonts w:hint="eastAsia" w:ascii="宋体" w:hAnsi="宋体" w:eastAsia="宋体" w:cs="宋体"/>
          <w:sz w:val="28"/>
          <w:szCs w:val="28"/>
        </w:rPr>
        <w:t>实际签订的合同为准）</w:t>
      </w:r>
    </w:p>
    <w:p w14:paraId="1E9CC42F">
      <w:pPr>
        <w:jc w:val="left"/>
        <w:rPr>
          <w:rFonts w:hint="eastAsia" w:ascii="宋体" w:hAnsi="宋体" w:eastAsia="宋体" w:cs="宋体"/>
          <w:bCs/>
          <w:color w:val="000000"/>
          <w:sz w:val="24"/>
          <w:szCs w:val="24"/>
          <w:highlight w:val="none"/>
        </w:rPr>
      </w:pPr>
    </w:p>
    <w:p w14:paraId="02C93493">
      <w:pPr>
        <w:jc w:val="left"/>
        <w:rPr>
          <w:rFonts w:hint="eastAsia" w:ascii="宋体" w:hAnsi="宋体" w:eastAsia="宋体" w:cs="宋体"/>
          <w:bCs/>
          <w:color w:val="000000"/>
          <w:sz w:val="24"/>
          <w:szCs w:val="24"/>
          <w:highlight w:val="none"/>
        </w:rPr>
      </w:pPr>
    </w:p>
    <w:p w14:paraId="61EB4796">
      <w:pPr>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（GF—2017—0201）</w:t>
      </w:r>
      <w:bookmarkStart w:id="777" w:name="_GoBack"/>
      <w:bookmarkEnd w:id="777"/>
    </w:p>
    <w:p w14:paraId="421D95FE">
      <w:pPr>
        <w:jc w:val="center"/>
        <w:rPr>
          <w:rFonts w:hint="eastAsia" w:ascii="宋体" w:hAnsi="宋体" w:eastAsia="宋体" w:cs="宋体"/>
          <w:b/>
          <w:color w:val="000000"/>
          <w:sz w:val="40"/>
          <w:szCs w:val="40"/>
          <w:highlight w:val="none"/>
        </w:rPr>
      </w:pPr>
    </w:p>
    <w:p w14:paraId="56EAE339">
      <w:pPr>
        <w:jc w:val="center"/>
        <w:rPr>
          <w:rFonts w:hint="eastAsia" w:ascii="宋体" w:hAnsi="宋体" w:eastAsia="宋体" w:cs="宋体"/>
          <w:b/>
          <w:color w:val="000000"/>
          <w:sz w:val="40"/>
          <w:szCs w:val="40"/>
          <w:highlight w:val="none"/>
        </w:rPr>
      </w:pPr>
    </w:p>
    <w:p w14:paraId="08D32D4C">
      <w:pPr>
        <w:jc w:val="center"/>
        <w:rPr>
          <w:rFonts w:hint="eastAsia" w:ascii="宋体" w:hAnsi="宋体" w:eastAsia="宋体" w:cs="宋体"/>
          <w:b/>
          <w:color w:val="000000"/>
          <w:sz w:val="40"/>
          <w:szCs w:val="40"/>
          <w:highlight w:val="none"/>
        </w:rPr>
      </w:pPr>
    </w:p>
    <w:p w14:paraId="2FD33EA3">
      <w:pPr>
        <w:jc w:val="center"/>
        <w:rPr>
          <w:rFonts w:hint="eastAsia" w:ascii="宋体" w:hAnsi="宋体" w:eastAsia="宋体" w:cs="宋体"/>
          <w:b/>
          <w:color w:val="000000"/>
          <w:sz w:val="44"/>
          <w:szCs w:val="44"/>
          <w:highlight w:val="none"/>
          <w:lang w:eastAsia="zh-CN"/>
        </w:rPr>
      </w:pPr>
      <w:r>
        <w:rPr>
          <w:rFonts w:hint="eastAsia" w:ascii="宋体" w:hAnsi="宋体" w:eastAsia="宋体" w:cs="宋体"/>
          <w:b/>
          <w:color w:val="000000"/>
          <w:sz w:val="44"/>
          <w:szCs w:val="44"/>
          <w:highlight w:val="none"/>
        </w:rPr>
        <w:t>建设工程施工合同</w:t>
      </w:r>
    </w:p>
    <w:p w14:paraId="7239D987">
      <w:pPr>
        <w:jc w:val="center"/>
        <w:rPr>
          <w:rFonts w:hint="eastAsia" w:ascii="宋体" w:hAnsi="宋体" w:eastAsia="宋体" w:cs="宋体"/>
          <w:b/>
          <w:color w:val="000000"/>
          <w:sz w:val="44"/>
          <w:szCs w:val="44"/>
          <w:highlight w:val="none"/>
          <w:lang w:eastAsia="zh-CN"/>
        </w:rPr>
      </w:pPr>
    </w:p>
    <w:p w14:paraId="5ED05AFA">
      <w:pPr>
        <w:pStyle w:val="2"/>
        <w:rPr>
          <w:rFonts w:hint="eastAsia" w:ascii="宋体" w:hAnsi="宋体" w:eastAsia="宋体" w:cs="宋体"/>
          <w:b/>
          <w:color w:val="000000"/>
          <w:sz w:val="40"/>
          <w:szCs w:val="40"/>
          <w:highlight w:val="none"/>
        </w:rPr>
      </w:pPr>
    </w:p>
    <w:p w14:paraId="527E02BC">
      <w:pPr>
        <w:rPr>
          <w:rFonts w:hint="eastAsia"/>
        </w:rPr>
      </w:pPr>
    </w:p>
    <w:p w14:paraId="2CB61BAB">
      <w:pPr>
        <w:jc w:val="center"/>
        <w:rPr>
          <w:rFonts w:hint="eastAsia" w:ascii="宋体" w:hAnsi="宋体" w:eastAsia="宋体" w:cs="宋体"/>
          <w:b/>
          <w:color w:val="000000"/>
          <w:sz w:val="40"/>
          <w:szCs w:val="40"/>
          <w:highlight w:val="none"/>
        </w:rPr>
      </w:pPr>
      <w:r>
        <w:rPr>
          <w:rFonts w:hint="eastAsia" w:ascii="宋体" w:hAnsi="宋体" w:eastAsia="宋体" w:cs="宋体"/>
          <w:b/>
          <w:color w:val="000000"/>
          <w:sz w:val="36"/>
          <w:szCs w:val="36"/>
          <w:highlight w:val="none"/>
        </w:rPr>
        <w:t>（示范文本）</w:t>
      </w:r>
    </w:p>
    <w:p w14:paraId="4022BCD7">
      <w:pPr>
        <w:jc w:val="center"/>
        <w:rPr>
          <w:rFonts w:hint="eastAsia" w:ascii="宋体" w:hAnsi="宋体" w:eastAsia="宋体" w:cs="宋体"/>
          <w:b/>
          <w:color w:val="000000"/>
          <w:sz w:val="40"/>
          <w:szCs w:val="40"/>
          <w:highlight w:val="none"/>
        </w:rPr>
      </w:pPr>
    </w:p>
    <w:p w14:paraId="39DF1F4F">
      <w:pPr>
        <w:jc w:val="center"/>
        <w:rPr>
          <w:rFonts w:hint="eastAsia" w:ascii="宋体" w:hAnsi="宋体" w:eastAsia="宋体" w:cs="宋体"/>
          <w:b/>
          <w:color w:val="000000"/>
          <w:sz w:val="48"/>
          <w:szCs w:val="48"/>
          <w:highlight w:val="none"/>
        </w:rPr>
      </w:pPr>
    </w:p>
    <w:p w14:paraId="04EBCCAD">
      <w:pPr>
        <w:pStyle w:val="2"/>
        <w:rPr>
          <w:rFonts w:hint="eastAsia" w:ascii="宋体" w:hAnsi="宋体" w:eastAsia="宋体" w:cs="宋体"/>
          <w:b/>
          <w:color w:val="000000"/>
          <w:sz w:val="48"/>
          <w:szCs w:val="48"/>
          <w:highlight w:val="none"/>
        </w:rPr>
      </w:pPr>
    </w:p>
    <w:p w14:paraId="6DC26B31">
      <w:pPr>
        <w:rPr>
          <w:rFonts w:hint="eastAsia"/>
        </w:rPr>
      </w:pPr>
    </w:p>
    <w:p w14:paraId="477AB38A">
      <w:pPr>
        <w:pStyle w:val="13"/>
        <w:rPr>
          <w:rFonts w:hint="eastAsia" w:ascii="宋体" w:hAnsi="宋体" w:eastAsia="宋体" w:cs="宋体"/>
          <w:b/>
          <w:color w:val="000000"/>
          <w:sz w:val="48"/>
          <w:szCs w:val="48"/>
          <w:highlight w:val="none"/>
        </w:rPr>
      </w:pPr>
    </w:p>
    <w:p w14:paraId="08C865A8">
      <w:pPr>
        <w:rPr>
          <w:rFonts w:hint="eastAsia" w:ascii="宋体" w:hAnsi="宋体" w:eastAsia="宋体" w:cs="宋体"/>
          <w:b/>
          <w:color w:val="000000"/>
          <w:sz w:val="48"/>
          <w:szCs w:val="48"/>
          <w:highlight w:val="none"/>
        </w:rPr>
      </w:pPr>
    </w:p>
    <w:p w14:paraId="56EACC72">
      <w:pPr>
        <w:pStyle w:val="13"/>
        <w:rPr>
          <w:rFonts w:hint="eastAsia" w:ascii="宋体" w:hAnsi="宋体" w:eastAsia="宋体" w:cs="宋体"/>
          <w:highlight w:val="none"/>
        </w:rPr>
      </w:pPr>
    </w:p>
    <w:p w14:paraId="45813B1B">
      <w:pPr>
        <w:ind w:right="3626" w:rightChars="1295"/>
        <w:jc w:val="distribute"/>
        <w:rPr>
          <w:rFonts w:hint="eastAsia" w:ascii="宋体" w:hAnsi="宋体" w:eastAsia="宋体" w:cs="宋体"/>
          <w:b/>
          <w:color w:val="000000"/>
          <w:sz w:val="32"/>
          <w:szCs w:val="32"/>
          <w:highlight w:val="none"/>
          <w:lang w:val="en-US" w:eastAsia="zh-CN"/>
        </w:rPr>
      </w:pPr>
      <w:r>
        <w:rPr>
          <w:rFonts w:hint="eastAsia" w:ascii="宋体" w:hAnsi="宋体" w:eastAsia="宋体" w:cs="宋体"/>
          <w:sz w:val="20"/>
          <w:highlight w:val="none"/>
        </w:rPr>
        <mc:AlternateContent>
          <mc:Choice Requires="wps">
            <w:drawing>
              <wp:anchor distT="0" distB="0" distL="114300" distR="114300" simplePos="0" relativeHeight="251659264" behindDoc="0" locked="0" layoutInCell="1" allowOverlap="1">
                <wp:simplePos x="0" y="0"/>
                <wp:positionH relativeFrom="column">
                  <wp:posOffset>3836670</wp:posOffset>
                </wp:positionH>
                <wp:positionV relativeFrom="paragraph">
                  <wp:posOffset>120015</wp:posOffset>
                </wp:positionV>
                <wp:extent cx="6858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w="9525" cap="flat" cmpd="sng">
                          <a:solidFill>
                            <a:srgbClr val="FFFFFF"/>
                          </a:solidFill>
                          <a:prstDash val="solid"/>
                          <a:miter/>
                          <a:headEnd type="none" w="med" len="med"/>
                          <a:tailEnd type="none" w="med" len="med"/>
                        </a:ln>
                      </wps:spPr>
                      <wps:txbx>
                        <w:txbxContent>
                          <w:p w14:paraId="081375B9">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2.1pt;margin-top:9.45pt;height:36pt;width:54pt;z-index:251659264;mso-width-relative:page;mso-height-relative:page;" filled="f" stroked="t" coordsize="21600,21600" o:gfxdata="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I9W5NgAAAAJAQAADwAAAAAAAAABACAAAAAiAAAAZHJz&#10;L2Rvd25yZXYueG1sUEsBAhQAFAAAAAgAh07iQLkMvfAEAgAADAQAAA4AAAAAAAAAAQAgAAAAJwEA&#10;AGRycy9lMm9Eb2MueG1sUEsFBgAAAAAGAAYAWQEAAJ0FAAAAAA==&#10;">
                <v:fill on="f" focussize="0,0"/>
                <v:stroke color="#FFFFFF" joinstyle="miter"/>
                <v:imagedata o:title=""/>
                <o:lock v:ext="edit" aspectratio="f"/>
                <v:textbox>
                  <w:txbxContent>
                    <w:p w14:paraId="081375B9">
                      <w:pPr>
                        <w:rPr>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2"/>
          <w:szCs w:val="32"/>
          <w:highlight w:val="none"/>
          <w:lang w:val="en-US" w:eastAsia="zh-CN"/>
        </w:rPr>
        <w:t xml:space="preserve">            </w:t>
      </w:r>
      <w:r>
        <w:rPr>
          <w:rFonts w:hint="eastAsia" w:ascii="宋体" w:hAnsi="宋体" w:eastAsia="宋体" w:cs="宋体"/>
          <w:b/>
          <w:color w:val="000000"/>
          <w:sz w:val="32"/>
          <w:szCs w:val="32"/>
          <w:highlight w:val="none"/>
        </w:rPr>
        <w:t>住房城乡建设部</w:t>
      </w:r>
      <w:r>
        <w:rPr>
          <w:rFonts w:hint="eastAsia" w:ascii="宋体" w:hAnsi="宋体" w:eastAsia="宋体" w:cs="宋体"/>
          <w:b/>
          <w:color w:val="000000"/>
          <w:sz w:val="32"/>
          <w:szCs w:val="32"/>
          <w:highlight w:val="none"/>
          <w:lang w:val="en-US" w:eastAsia="zh-CN"/>
        </w:rPr>
        <w:t xml:space="preserve">  </w:t>
      </w:r>
    </w:p>
    <w:p w14:paraId="3D65DF20">
      <w:pPr>
        <w:ind w:right="3626" w:rightChars="1295"/>
        <w:jc w:val="distribute"/>
        <w:rPr>
          <w:rFonts w:hint="eastAsia" w:ascii="宋体" w:hAnsi="宋体" w:eastAsia="宋体" w:cs="宋体"/>
          <w:b/>
          <w:color w:val="000000"/>
          <w:sz w:val="28"/>
          <w:highlight w:val="none"/>
          <w:lang w:val="en-US" w:eastAsia="zh-CN"/>
        </w:rPr>
      </w:pPr>
      <w:r>
        <w:rPr>
          <w:rFonts w:hint="eastAsia" w:ascii="宋体" w:hAnsi="宋体" w:eastAsia="宋体" w:cs="宋体"/>
          <w:b/>
          <w:color w:val="000000"/>
          <w:sz w:val="32"/>
          <w:szCs w:val="32"/>
          <w:highlight w:val="none"/>
          <w:lang w:val="en-US" w:eastAsia="zh-CN"/>
        </w:rPr>
        <w:t xml:space="preserve">            </w:t>
      </w:r>
      <w:r>
        <w:rPr>
          <w:rFonts w:hint="eastAsia" w:ascii="宋体" w:hAnsi="宋体" w:eastAsia="宋体" w:cs="宋体"/>
          <w:b/>
          <w:color w:val="000000"/>
          <w:sz w:val="32"/>
          <w:szCs w:val="32"/>
          <w:highlight w:val="none"/>
        </w:rPr>
        <w:t>国家工商行政管理总局</w:t>
      </w:r>
      <w:r>
        <w:rPr>
          <w:rFonts w:hint="eastAsia" w:ascii="宋体" w:hAnsi="宋体" w:eastAsia="宋体" w:cs="宋体"/>
          <w:b/>
          <w:color w:val="000000"/>
          <w:sz w:val="28"/>
          <w:highlight w:val="none"/>
          <w:lang w:val="en-US" w:eastAsia="zh-CN"/>
        </w:rPr>
        <w:t xml:space="preserve">  </w:t>
      </w:r>
    </w:p>
    <w:p w14:paraId="34364841">
      <w:pPr>
        <w:rPr>
          <w:rFonts w:hint="eastAsia" w:ascii="宋体" w:hAnsi="宋体" w:eastAsia="宋体" w:cs="宋体"/>
          <w:b/>
          <w:color w:val="000000"/>
          <w:sz w:val="16"/>
          <w:szCs w:val="20"/>
          <w:highlight w:val="none"/>
        </w:rPr>
      </w:pPr>
    </w:p>
    <w:p w14:paraId="1CF9667F">
      <w:pPr>
        <w:pStyle w:val="14"/>
        <w:keepNext/>
        <w:keepLines/>
        <w:pageBreakBefore w:val="0"/>
        <w:widowControl w:val="0"/>
        <w:kinsoku/>
        <w:wordWrap/>
        <w:overflowPunct/>
        <w:topLinePunct w:val="0"/>
        <w:autoSpaceDE/>
        <w:autoSpaceDN/>
        <w:bidi w:val="0"/>
        <w:adjustRightInd/>
        <w:snapToGrid/>
        <w:spacing w:before="100" w:after="90" w:line="24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b w:val="0"/>
          <w:color w:val="000000"/>
          <w:sz w:val="32"/>
          <w:szCs w:val="15"/>
          <w:highlight w:val="none"/>
        </w:rPr>
        <w:br w:type="page"/>
      </w:r>
      <w:bookmarkStart w:id="4" w:name="_Toc1377"/>
      <w:bookmarkStart w:id="5" w:name="_Toc13502"/>
      <w:bookmarkStart w:id="6" w:name="_Toc296503025"/>
      <w:bookmarkStart w:id="7" w:name="_Toc296890982"/>
      <w:r>
        <w:rPr>
          <w:rFonts w:hint="eastAsia" w:ascii="宋体" w:hAnsi="宋体" w:eastAsia="宋体" w:cs="宋体"/>
          <w:sz w:val="24"/>
          <w:szCs w:val="24"/>
          <w:highlight w:val="none"/>
          <w:lang w:val="zh-CN"/>
        </w:rPr>
        <w:t>说  明</w:t>
      </w:r>
      <w:bookmarkEnd w:id="4"/>
      <w:bookmarkEnd w:id="5"/>
    </w:p>
    <w:p w14:paraId="7ECF0280">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为了指导建设工程施工合同当事人的签约行为，维护合同当事人的合法权益，依据《中华人民共和国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4991F6A">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一、《示范文本》的组成</w:t>
      </w:r>
    </w:p>
    <w:p w14:paraId="15CF4837">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《示范文本》由合同协议书、通用合同条款和专用合同条款三部分组成。</w:t>
      </w:r>
    </w:p>
    <w:p w14:paraId="5FFFD2D2">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（一）合同协议书</w:t>
      </w:r>
    </w:p>
    <w:p w14:paraId="4C664EA1">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7C454336">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（二）通用合同条款</w:t>
      </w:r>
    </w:p>
    <w:p w14:paraId="61F56D8E">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通用合同条款是合同当事人根据《中华人民共和国建筑法》、《中华人民共和国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》等法律法规的规定，就工程建设的实施及相关事项，对合同当事人的权利义务作出的原则性约定。</w:t>
      </w:r>
    </w:p>
    <w:p w14:paraId="6A3CB173">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CBAA82">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（三）专用合同条款</w:t>
      </w:r>
    </w:p>
    <w:p w14:paraId="304E0548">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CC7B600">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1.专用合同条款的编号应与相应的通用合同条款的编号一致；</w:t>
      </w:r>
    </w:p>
    <w:p w14:paraId="5DC4BA55">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2.合同当事人可以通过对专用合同条款的修改，满足具体建设工程的特殊要求，避免直接修改通用合同条款；</w:t>
      </w:r>
    </w:p>
    <w:p w14:paraId="3C8F48EE">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3.在专用合同条款中有横道线的地方，合同当事人可针对相应的通用合同条款进行细化、完善、补充、修改或另行约定；如无细化、完善、补充、修改或另行约定，则填写“无”或划“/”。</w:t>
      </w:r>
    </w:p>
    <w:p w14:paraId="3F1D3238">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二、《示范文本》的性质和适用范围</w:t>
      </w:r>
    </w:p>
    <w:p w14:paraId="10CBA69D">
      <w:pPr>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szCs w:val="24"/>
          <w:highlight w:val="none"/>
        </w:rPr>
        <w:sectPr>
          <w:headerReference r:id="rId3" w:type="default"/>
          <w:footerReference r:id="rId4" w:type="default"/>
          <w:pgSz w:w="11906" w:h="16838"/>
          <w:pgMar w:top="1418" w:right="1555" w:bottom="1418" w:left="1531" w:header="851" w:footer="992" w:gutter="0"/>
          <w:pgNumType w:fmt="decimal" w:start="1"/>
          <w:cols w:space="720" w:num="1"/>
          <w:docGrid w:type="lines" w:linePitch="312" w:charSpace="0"/>
        </w:sectPr>
      </w:pPr>
      <w:r>
        <w:rPr>
          <w:rFonts w:hint="eastAsia" w:ascii="宋体" w:hAnsi="宋体" w:eastAsia="宋体" w:cs="宋体"/>
          <w:sz w:val="24"/>
          <w:szCs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08A33F48">
      <w:pPr>
        <w:pStyle w:val="14"/>
        <w:keepNext/>
        <w:keepLines/>
        <w:pageBreakBefore w:val="0"/>
        <w:widowControl w:val="0"/>
        <w:kinsoku/>
        <w:wordWrap/>
        <w:overflowPunct/>
        <w:topLinePunct w:val="0"/>
        <w:autoSpaceDE/>
        <w:autoSpaceDN/>
        <w:bidi w:val="0"/>
        <w:adjustRightInd/>
        <w:snapToGrid/>
        <w:spacing w:before="60" w:after="60" w:line="579" w:lineRule="auto"/>
        <w:jc w:val="center"/>
        <w:textAlignment w:val="auto"/>
        <w:outlineLvl w:val="9"/>
        <w:rPr>
          <w:rFonts w:hint="eastAsia" w:ascii="宋体" w:hAnsi="宋体" w:eastAsia="宋体" w:cs="宋体"/>
          <w:sz w:val="28"/>
          <w:szCs w:val="28"/>
          <w:highlight w:val="none"/>
        </w:rPr>
      </w:pPr>
      <w:bookmarkStart w:id="8" w:name="_Toc9273"/>
      <w:bookmarkStart w:id="9" w:name="_Toc9025"/>
      <w:r>
        <w:rPr>
          <w:rFonts w:hint="eastAsia" w:ascii="宋体" w:hAnsi="宋体" w:eastAsia="宋体" w:cs="宋体"/>
          <w:sz w:val="28"/>
          <w:szCs w:val="28"/>
          <w:highlight w:val="none"/>
          <w:lang w:val="zh-CN"/>
        </w:rPr>
        <w:t xml:space="preserve">目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zh-CN"/>
        </w:rPr>
        <w:t>录</w:t>
      </w:r>
      <w:bookmarkEnd w:id="8"/>
      <w:bookmarkEnd w:id="9"/>
    </w:p>
    <w:p w14:paraId="39F9589B">
      <w:pPr>
        <w:pStyle w:val="6"/>
        <w:pageBreakBefore w:val="0"/>
        <w:tabs>
          <w:tab w:val="right" w:leader="dot" w:pos="8810"/>
        </w:tabs>
        <w:kinsoku/>
        <w:wordWrap/>
        <w:overflowPunct/>
        <w:topLinePunct w:val="0"/>
        <w:bidi w:val="0"/>
        <w:spacing w:line="600" w:lineRule="exact"/>
        <w:ind w:left="0" w:leftChars="0"/>
        <w:textAlignment w:val="auto"/>
        <w:outlineLvl w:val="9"/>
        <w:rPr>
          <w:rFonts w:hint="eastAsia" w:ascii="宋体" w:hAnsi="宋体" w:eastAsia="宋体" w:cs="宋体"/>
          <w:b/>
          <w:i w:val="0"/>
          <w:iCs w:val="0"/>
          <w:sz w:val="24"/>
          <w:szCs w:val="24"/>
          <w:highlight w:val="none"/>
        </w:rPr>
      </w:pPr>
      <w:bookmarkStart w:id="10" w:name="_Toc351203480"/>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TOC \o "1-5" \h \z \u </w:instrText>
      </w:r>
      <w:r>
        <w:rPr>
          <w:rFonts w:hint="eastAsia" w:ascii="宋体" w:hAnsi="宋体" w:eastAsia="宋体" w:cs="宋体"/>
          <w:sz w:val="24"/>
          <w:szCs w:val="24"/>
          <w:highlight w:val="none"/>
        </w:rPr>
        <w:fldChar w:fldCharType="separate"/>
      </w:r>
      <w:r>
        <w:rPr>
          <w:rFonts w:hint="eastAsia" w:ascii="宋体" w:hAnsi="宋体" w:eastAsia="宋体" w:cs="宋体"/>
          <w:i w:val="0"/>
          <w:iCs w:val="0"/>
          <w:sz w:val="24"/>
          <w:szCs w:val="24"/>
          <w:highlight w:val="none"/>
        </w:rPr>
        <w:fldChar w:fldCharType="begin"/>
      </w:r>
      <w:r>
        <w:rPr>
          <w:rFonts w:hint="eastAsia" w:ascii="宋体" w:hAnsi="宋体" w:eastAsia="宋体" w:cs="宋体"/>
          <w:i w:val="0"/>
          <w:iCs w:val="0"/>
          <w:sz w:val="24"/>
          <w:szCs w:val="24"/>
          <w:highlight w:val="none"/>
        </w:rPr>
        <w:instrText xml:space="preserve"> HYPERLINK \l "_Toc351203480" </w:instrText>
      </w:r>
      <w:r>
        <w:rPr>
          <w:rFonts w:hint="eastAsia" w:ascii="宋体" w:hAnsi="宋体" w:eastAsia="宋体" w:cs="宋体"/>
          <w:i w:val="0"/>
          <w:iCs w:val="0"/>
          <w:sz w:val="24"/>
          <w:szCs w:val="24"/>
          <w:highlight w:val="none"/>
        </w:rPr>
        <w:fldChar w:fldCharType="separate"/>
      </w:r>
      <w:r>
        <w:rPr>
          <w:rStyle w:val="12"/>
          <w:rFonts w:hint="eastAsia" w:ascii="宋体" w:hAnsi="宋体" w:eastAsia="宋体" w:cs="宋体"/>
          <w:b/>
          <w:i w:val="0"/>
          <w:iCs w:val="0"/>
          <w:sz w:val="24"/>
          <w:szCs w:val="24"/>
          <w:highlight w:val="none"/>
        </w:rPr>
        <w:t>第一部分 合同协议书</w:t>
      </w:r>
      <w:r>
        <w:rPr>
          <w:rFonts w:hint="eastAsia" w:ascii="宋体" w:hAnsi="宋体" w:eastAsia="宋体" w:cs="宋体"/>
          <w:i w:val="0"/>
          <w:iCs w:val="0"/>
          <w:sz w:val="24"/>
          <w:szCs w:val="24"/>
          <w:highlight w:val="none"/>
        </w:rPr>
        <w:fldChar w:fldCharType="end"/>
      </w:r>
    </w:p>
    <w:p w14:paraId="0EE03897">
      <w:pPr>
        <w:pStyle w:val="6"/>
        <w:pageBreakBefore w:val="0"/>
        <w:tabs>
          <w:tab w:val="right" w:leader="dot" w:pos="8810"/>
        </w:tabs>
        <w:kinsoku/>
        <w:wordWrap/>
        <w:overflowPunct/>
        <w:topLinePunct w:val="0"/>
        <w:bidi w:val="0"/>
        <w:spacing w:line="600" w:lineRule="exact"/>
        <w:ind w:left="0" w:leftChars="0"/>
        <w:textAlignment w:val="auto"/>
        <w:outlineLvl w:val="9"/>
        <w:rPr>
          <w:rFonts w:hint="eastAsia" w:ascii="宋体" w:hAnsi="宋体" w:eastAsia="宋体" w:cs="宋体"/>
          <w:b/>
          <w:i w:val="0"/>
          <w:iCs w:val="0"/>
          <w:sz w:val="24"/>
          <w:szCs w:val="24"/>
          <w:highlight w:val="none"/>
        </w:rPr>
      </w:pPr>
      <w:r>
        <w:rPr>
          <w:rFonts w:hint="eastAsia" w:ascii="宋体" w:hAnsi="宋体" w:eastAsia="宋体" w:cs="宋体"/>
          <w:i w:val="0"/>
          <w:iCs w:val="0"/>
          <w:sz w:val="24"/>
          <w:szCs w:val="24"/>
          <w:highlight w:val="none"/>
        </w:rPr>
        <w:fldChar w:fldCharType="begin"/>
      </w:r>
      <w:r>
        <w:rPr>
          <w:rFonts w:hint="eastAsia" w:ascii="宋体" w:hAnsi="宋体" w:eastAsia="宋体" w:cs="宋体"/>
          <w:i w:val="0"/>
          <w:iCs w:val="0"/>
          <w:sz w:val="24"/>
          <w:szCs w:val="24"/>
          <w:highlight w:val="none"/>
        </w:rPr>
        <w:instrText xml:space="preserve"> HYPERLINK \l "_Toc351203494" </w:instrText>
      </w:r>
      <w:r>
        <w:rPr>
          <w:rFonts w:hint="eastAsia" w:ascii="宋体" w:hAnsi="宋体" w:eastAsia="宋体" w:cs="宋体"/>
          <w:i w:val="0"/>
          <w:iCs w:val="0"/>
          <w:sz w:val="24"/>
          <w:szCs w:val="24"/>
          <w:highlight w:val="none"/>
        </w:rPr>
        <w:fldChar w:fldCharType="separate"/>
      </w:r>
      <w:r>
        <w:rPr>
          <w:rStyle w:val="12"/>
          <w:rFonts w:hint="eastAsia" w:ascii="宋体" w:hAnsi="宋体" w:eastAsia="宋体" w:cs="宋体"/>
          <w:b/>
          <w:i w:val="0"/>
          <w:iCs w:val="0"/>
          <w:sz w:val="24"/>
          <w:szCs w:val="24"/>
          <w:highlight w:val="none"/>
        </w:rPr>
        <w:t>第二部分 通用合同条款</w:t>
      </w:r>
      <w:r>
        <w:rPr>
          <w:rFonts w:hint="eastAsia" w:ascii="宋体" w:hAnsi="宋体" w:eastAsia="宋体" w:cs="宋体"/>
          <w:i w:val="0"/>
          <w:iCs w:val="0"/>
          <w:sz w:val="24"/>
          <w:szCs w:val="24"/>
          <w:highlight w:val="none"/>
        </w:rPr>
        <w:fldChar w:fldCharType="end"/>
      </w:r>
    </w:p>
    <w:p w14:paraId="76BEC213">
      <w:pPr>
        <w:pStyle w:val="6"/>
        <w:pageBreakBefore w:val="0"/>
        <w:tabs>
          <w:tab w:val="right" w:leader="dot" w:pos="8810"/>
        </w:tabs>
        <w:kinsoku/>
        <w:wordWrap/>
        <w:overflowPunct/>
        <w:topLinePunct w:val="0"/>
        <w:bidi w:val="0"/>
        <w:spacing w:line="600" w:lineRule="exact"/>
        <w:ind w:left="0" w:leftChars="0"/>
        <w:textAlignment w:val="auto"/>
        <w:outlineLvl w:val="9"/>
        <w:rPr>
          <w:rFonts w:hint="eastAsia" w:ascii="宋体" w:hAnsi="宋体" w:eastAsia="宋体" w:cs="宋体"/>
          <w:i w:val="0"/>
          <w:iCs w:val="0"/>
          <w:sz w:val="24"/>
          <w:szCs w:val="24"/>
          <w:highlight w:val="none"/>
        </w:rPr>
      </w:pPr>
      <w:r>
        <w:rPr>
          <w:rFonts w:hint="eastAsia" w:ascii="宋体" w:hAnsi="宋体" w:eastAsia="宋体" w:cs="宋体"/>
          <w:i w:val="0"/>
          <w:iCs w:val="0"/>
          <w:sz w:val="24"/>
          <w:szCs w:val="24"/>
          <w:highlight w:val="none"/>
        </w:rPr>
        <w:fldChar w:fldCharType="begin"/>
      </w:r>
      <w:r>
        <w:rPr>
          <w:rFonts w:hint="eastAsia" w:ascii="宋体" w:hAnsi="宋体" w:eastAsia="宋体" w:cs="宋体"/>
          <w:i w:val="0"/>
          <w:iCs w:val="0"/>
          <w:sz w:val="24"/>
          <w:szCs w:val="24"/>
          <w:highlight w:val="none"/>
        </w:rPr>
        <w:instrText xml:space="preserve"> HYPERLINK \l "_Toc351203632" </w:instrText>
      </w:r>
      <w:r>
        <w:rPr>
          <w:rFonts w:hint="eastAsia" w:ascii="宋体" w:hAnsi="宋体" w:eastAsia="宋体" w:cs="宋体"/>
          <w:i w:val="0"/>
          <w:iCs w:val="0"/>
          <w:sz w:val="24"/>
          <w:szCs w:val="24"/>
          <w:highlight w:val="none"/>
        </w:rPr>
        <w:fldChar w:fldCharType="separate"/>
      </w:r>
      <w:r>
        <w:rPr>
          <w:rStyle w:val="12"/>
          <w:rFonts w:hint="eastAsia" w:ascii="宋体" w:hAnsi="宋体" w:eastAsia="宋体" w:cs="宋体"/>
          <w:b/>
          <w:i w:val="0"/>
          <w:iCs w:val="0"/>
          <w:sz w:val="24"/>
          <w:szCs w:val="24"/>
          <w:highlight w:val="none"/>
        </w:rPr>
        <w:t>第三部分 专用合同条款</w:t>
      </w:r>
      <w:r>
        <w:rPr>
          <w:rFonts w:hint="eastAsia" w:ascii="宋体" w:hAnsi="宋体" w:eastAsia="宋体" w:cs="宋体"/>
          <w:i w:val="0"/>
          <w:iCs w:val="0"/>
          <w:sz w:val="24"/>
          <w:szCs w:val="24"/>
          <w:highlight w:val="none"/>
        </w:rPr>
        <w:fldChar w:fldCharType="end"/>
      </w:r>
    </w:p>
    <w:p w14:paraId="2AFE5606">
      <w:pPr>
        <w:pageBreakBefore w:val="0"/>
        <w:kinsoku/>
        <w:wordWrap/>
        <w:overflowPunct/>
        <w:topLinePunct w:val="0"/>
        <w:bidi w:val="0"/>
        <w:spacing w:line="360" w:lineRule="auto"/>
        <w:jc w:val="left"/>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p>
    <w:p w14:paraId="537212E7">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14:paraId="1D45995F">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附件1：承包人承揽工程项目一览表</w:t>
      </w:r>
    </w:p>
    <w:p w14:paraId="51959733">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专用合同条款附件：</w:t>
      </w:r>
    </w:p>
    <w:p w14:paraId="6A49B2E7">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附件2：发包人供应材料设备一览表</w:t>
      </w:r>
    </w:p>
    <w:p w14:paraId="713A6A3A">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附件3：工程质量保修书</w:t>
      </w:r>
    </w:p>
    <w:p w14:paraId="56253BBC">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附件4：主要建设工程文件目录</w:t>
      </w:r>
    </w:p>
    <w:p w14:paraId="762F8AD6">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附件5：承包人用于本工程施工的机械设备表</w:t>
      </w:r>
    </w:p>
    <w:p w14:paraId="2E7AE738">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附件6：承包人主要施工管理人员表</w:t>
      </w:r>
    </w:p>
    <w:p w14:paraId="3FE18F3D">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附件7：分包人主要施工管理人员表</w:t>
      </w:r>
    </w:p>
    <w:p w14:paraId="3468B4E7">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附件8：履约担保格式</w:t>
      </w:r>
    </w:p>
    <w:p w14:paraId="1D9DE1A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附件9：预付款担保格式</w:t>
      </w:r>
    </w:p>
    <w:p w14:paraId="5FE0D2B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附件10：支付担保格式</w:t>
      </w:r>
    </w:p>
    <w:p w14:paraId="7B60964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sectPr>
          <w:footerReference r:id="rId5" w:type="first"/>
          <w:pgSz w:w="11906" w:h="16838"/>
          <w:pgMar w:top="1418" w:right="1416" w:bottom="1418" w:left="1531" w:header="851" w:footer="992" w:gutter="0"/>
          <w:pgNumType w:fmt="decimal"/>
          <w:cols w:space="720" w:num="1"/>
          <w:titlePg/>
          <w:docGrid w:type="lines" w:linePitch="312" w:charSpace="0"/>
        </w:sectPr>
      </w:pPr>
    </w:p>
    <w:p w14:paraId="4A1B94FC">
      <w:pPr>
        <w:keepNext/>
        <w:keepLines/>
        <w:pageBreakBefore w:val="0"/>
        <w:widowControl w:val="0"/>
        <w:numPr>
          <w:ilvl w:val="0"/>
          <w:numId w:val="0"/>
        </w:numPr>
        <w:kinsoku/>
        <w:wordWrap/>
        <w:overflowPunct/>
        <w:topLinePunct w:val="0"/>
        <w:autoSpaceDE/>
        <w:autoSpaceDN/>
        <w:bidi w:val="0"/>
        <w:adjustRightInd/>
        <w:snapToGrid/>
        <w:spacing w:before="120" w:after="120" w:line="413" w:lineRule="auto"/>
        <w:jc w:val="center"/>
        <w:textAlignment w:val="auto"/>
        <w:outlineLvl w:val="9"/>
        <w:rPr>
          <w:rFonts w:hint="eastAsia" w:ascii="宋体" w:hAnsi="宋体" w:eastAsia="宋体" w:cs="宋体"/>
          <w:b/>
          <w:bCs/>
          <w:kern w:val="2"/>
          <w:sz w:val="28"/>
          <w:szCs w:val="28"/>
          <w:highlight w:val="none"/>
        </w:rPr>
      </w:pPr>
      <w:bookmarkStart w:id="11" w:name="_Toc11594"/>
      <w:r>
        <w:rPr>
          <w:rFonts w:hint="eastAsia" w:ascii="宋体" w:hAnsi="宋体" w:eastAsia="宋体" w:cs="宋体"/>
          <w:sz w:val="24"/>
          <w:szCs w:val="24"/>
          <w:highlight w:val="none"/>
        </w:rPr>
        <w:fldChar w:fldCharType="end"/>
      </w:r>
      <w:r>
        <w:rPr>
          <w:rFonts w:hint="eastAsia" w:ascii="宋体" w:hAnsi="宋体" w:eastAsia="宋体" w:cs="宋体"/>
          <w:b/>
          <w:bCs/>
          <w:kern w:val="2"/>
          <w:sz w:val="28"/>
          <w:szCs w:val="28"/>
          <w:highlight w:val="none"/>
        </w:rPr>
        <w:t>第一部分 合同协议书</w:t>
      </w:r>
      <w:bookmarkEnd w:id="6"/>
      <w:bookmarkEnd w:id="7"/>
      <w:bookmarkEnd w:id="10"/>
      <w:bookmarkEnd w:id="11"/>
    </w:p>
    <w:p w14:paraId="239A1276">
      <w:pPr>
        <w:pageBreakBefore w:val="0"/>
        <w:kinsoku/>
        <w:wordWrap/>
        <w:overflowPunct/>
        <w:topLinePunct w:val="0"/>
        <w:bidi w:val="0"/>
        <w:spacing w:line="360" w:lineRule="auto"/>
        <w:textAlignment w:val="auto"/>
        <w:outlineLvl w:val="9"/>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发包人（全称）：</w:t>
      </w:r>
      <w:r>
        <w:rPr>
          <w:rFonts w:hint="eastAsia" w:ascii="宋体" w:hAnsi="宋体" w:eastAsia="宋体" w:cs="宋体"/>
          <w:b/>
          <w:color w:val="000000"/>
          <w:sz w:val="24"/>
          <w:szCs w:val="24"/>
          <w:highlight w:val="none"/>
          <w:u w:val="single"/>
        </w:rPr>
        <w:t xml:space="preserve">                              </w:t>
      </w:r>
      <w:r>
        <w:rPr>
          <w:rFonts w:hint="eastAsia" w:ascii="宋体" w:hAnsi="宋体" w:eastAsia="宋体" w:cs="宋体"/>
          <w:b/>
          <w:color w:val="000000"/>
          <w:sz w:val="24"/>
          <w:szCs w:val="24"/>
          <w:highlight w:val="none"/>
        </w:rPr>
        <w:t xml:space="preserve"> </w:t>
      </w:r>
    </w:p>
    <w:p w14:paraId="6A703DC0">
      <w:pPr>
        <w:pageBreakBefore w:val="0"/>
        <w:kinsoku/>
        <w:wordWrap/>
        <w:overflowPunct/>
        <w:topLinePunct w:val="0"/>
        <w:bidi w:val="0"/>
        <w:spacing w:line="360" w:lineRule="auto"/>
        <w:textAlignment w:val="auto"/>
        <w:outlineLvl w:val="9"/>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承包人（全称）：</w:t>
      </w:r>
      <w:r>
        <w:rPr>
          <w:rFonts w:hint="eastAsia" w:ascii="宋体" w:hAnsi="宋体" w:eastAsia="宋体" w:cs="宋体"/>
          <w:b/>
          <w:color w:val="000000"/>
          <w:sz w:val="24"/>
          <w:szCs w:val="24"/>
          <w:highlight w:val="none"/>
          <w:u w:val="single"/>
        </w:rPr>
        <w:t xml:space="preserve">                              </w:t>
      </w:r>
    </w:p>
    <w:p w14:paraId="1433072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color w:val="000000"/>
          <w:sz w:val="24"/>
          <w:szCs w:val="24"/>
          <w:highlight w:val="none"/>
        </w:rPr>
        <w:t>》、《中华人民共和国建筑法》及有关法律规定，遵循平等、自愿、公平和诚实信用的原则，双方就</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工程施工及有关事项协商一致，共同达成如下协议：</w:t>
      </w:r>
    </w:p>
    <w:p w14:paraId="7B375A11">
      <w:pPr>
        <w:pageBreakBefore w:val="0"/>
        <w:numPr>
          <w:ilvl w:val="0"/>
          <w:numId w:val="0"/>
        </w:numPr>
        <w:kinsoku/>
        <w:wordWrap/>
        <w:overflowPunct/>
        <w:topLinePunct w:val="0"/>
        <w:bidi w:val="0"/>
        <w:spacing w:before="120" w:after="120" w:line="360" w:lineRule="auto"/>
        <w:textAlignment w:val="auto"/>
        <w:outlineLvl w:val="9"/>
        <w:rPr>
          <w:rFonts w:hint="eastAsia" w:ascii="宋体" w:hAnsi="宋体" w:eastAsia="宋体" w:cs="宋体"/>
          <w:b/>
          <w:bCs/>
          <w:color w:val="000000"/>
          <w:sz w:val="24"/>
          <w:szCs w:val="24"/>
          <w:highlight w:val="none"/>
        </w:rPr>
      </w:pPr>
      <w:bookmarkStart w:id="12" w:name="_Toc17827"/>
      <w:bookmarkStart w:id="13" w:name="_Toc351203481"/>
      <w:r>
        <w:rPr>
          <w:rFonts w:hint="eastAsia" w:ascii="宋体" w:hAnsi="宋体" w:eastAsia="宋体" w:cs="宋体"/>
          <w:b/>
          <w:bCs/>
          <w:color w:val="000000"/>
          <w:sz w:val="24"/>
          <w:szCs w:val="24"/>
          <w:highlight w:val="none"/>
        </w:rPr>
        <w:t>一、工程概况</w:t>
      </w:r>
      <w:bookmarkEnd w:id="12"/>
      <w:bookmarkEnd w:id="13"/>
    </w:p>
    <w:p w14:paraId="487778A6">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bCs/>
          <w:color w:val="000000"/>
          <w:sz w:val="24"/>
          <w:szCs w:val="24"/>
          <w:highlight w:val="none"/>
        </w:rPr>
        <w:t>1.工程名称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9A80939">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2.工程地点：</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0BA053C">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3.工程立项批准文号：</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w:t>
      </w:r>
    </w:p>
    <w:p w14:paraId="05E97379">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4.资金来源：</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w:t>
      </w:r>
    </w:p>
    <w:p w14:paraId="30B2E816">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5.工程内容：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w:t>
      </w:r>
    </w:p>
    <w:p w14:paraId="4A2D3D94">
      <w:pPr>
        <w:pageBreakBefore w:val="0"/>
        <w:kinsoku/>
        <w:wordWrap/>
        <w:overflowPunct/>
        <w:topLinePunct w:val="0"/>
        <w:bidi w:val="0"/>
        <w:spacing w:line="360" w:lineRule="auto"/>
        <w:ind w:firstLine="470" w:firstLineChars="196"/>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bCs/>
          <w:color w:val="000000"/>
          <w:sz w:val="24"/>
          <w:szCs w:val="24"/>
          <w:highlight w:val="none"/>
        </w:rPr>
        <w:t>6.工程承包范围：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p>
    <w:p w14:paraId="63420E06">
      <w:pPr>
        <w:pageBreakBefore w:val="0"/>
        <w:numPr>
          <w:ilvl w:val="0"/>
          <w:numId w:val="0"/>
        </w:numPr>
        <w:kinsoku/>
        <w:wordWrap/>
        <w:overflowPunct/>
        <w:topLinePunct w:val="0"/>
        <w:bidi w:val="0"/>
        <w:spacing w:before="120" w:after="120" w:line="360" w:lineRule="auto"/>
        <w:textAlignment w:val="auto"/>
        <w:outlineLvl w:val="9"/>
        <w:rPr>
          <w:rFonts w:hint="eastAsia" w:ascii="宋体" w:hAnsi="宋体" w:eastAsia="宋体" w:cs="宋体"/>
          <w:b/>
          <w:bCs/>
          <w:color w:val="000000"/>
          <w:sz w:val="24"/>
          <w:szCs w:val="24"/>
          <w:highlight w:val="none"/>
        </w:rPr>
      </w:pPr>
      <w:bookmarkStart w:id="14" w:name="_Toc351203482"/>
      <w:bookmarkStart w:id="15" w:name="_Toc29935"/>
      <w:r>
        <w:rPr>
          <w:rFonts w:hint="eastAsia" w:ascii="宋体" w:hAnsi="宋体" w:eastAsia="宋体" w:cs="宋体"/>
          <w:b/>
          <w:bCs/>
          <w:color w:val="000000"/>
          <w:sz w:val="24"/>
          <w:szCs w:val="24"/>
          <w:highlight w:val="none"/>
        </w:rPr>
        <w:t>二、合同工期</w:t>
      </w:r>
      <w:bookmarkEnd w:id="14"/>
      <w:bookmarkEnd w:id="15"/>
    </w:p>
    <w:p w14:paraId="69E07A62">
      <w:pPr>
        <w:pageBreakBefore w:val="0"/>
        <w:kinsoku/>
        <w:wordWrap/>
        <w:overflowPunct/>
        <w:topLinePunct w:val="0"/>
        <w:bidi w:val="0"/>
        <w:spacing w:line="360" w:lineRule="auto"/>
        <w:ind w:firstLine="459"/>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计划开工日期：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1CCAF223">
      <w:pPr>
        <w:pageBreakBefore w:val="0"/>
        <w:kinsoku/>
        <w:wordWrap/>
        <w:overflowPunct/>
        <w:topLinePunct w:val="0"/>
        <w:bidi w:val="0"/>
        <w:spacing w:line="360" w:lineRule="auto"/>
        <w:ind w:firstLine="459"/>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计划竣工日期：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3BCD9AB6">
      <w:pPr>
        <w:pageBreakBefore w:val="0"/>
        <w:kinsoku/>
        <w:wordWrap/>
        <w:overflowPunct/>
        <w:topLinePunct w:val="0"/>
        <w:bidi w:val="0"/>
        <w:spacing w:line="360" w:lineRule="auto"/>
        <w:ind w:firstLine="459"/>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工期总日历天数：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天。工期总日历天数与根据前述计划开竣工日期计算的工期天数不一致的，以工期总日历天数为准。</w:t>
      </w:r>
    </w:p>
    <w:p w14:paraId="21B6D2C4">
      <w:pPr>
        <w:pageBreakBefore w:val="0"/>
        <w:numPr>
          <w:ilvl w:val="0"/>
          <w:numId w:val="0"/>
        </w:numPr>
        <w:kinsoku/>
        <w:wordWrap/>
        <w:overflowPunct/>
        <w:topLinePunct w:val="0"/>
        <w:bidi w:val="0"/>
        <w:spacing w:before="120" w:after="120" w:line="360" w:lineRule="auto"/>
        <w:textAlignment w:val="auto"/>
        <w:outlineLvl w:val="9"/>
        <w:rPr>
          <w:rFonts w:hint="eastAsia" w:ascii="宋体" w:hAnsi="宋体" w:eastAsia="宋体" w:cs="宋体"/>
          <w:b/>
          <w:bCs/>
          <w:color w:val="000000"/>
          <w:sz w:val="24"/>
          <w:szCs w:val="24"/>
          <w:highlight w:val="none"/>
        </w:rPr>
      </w:pPr>
      <w:bookmarkStart w:id="16" w:name="_Toc27383"/>
      <w:bookmarkStart w:id="17" w:name="_Toc351203483"/>
      <w:r>
        <w:rPr>
          <w:rFonts w:hint="eastAsia" w:ascii="宋体" w:hAnsi="宋体" w:eastAsia="宋体" w:cs="宋体"/>
          <w:b/>
          <w:bCs/>
          <w:color w:val="000000"/>
          <w:sz w:val="24"/>
          <w:szCs w:val="24"/>
          <w:highlight w:val="none"/>
        </w:rPr>
        <w:t>三、质量标准</w:t>
      </w:r>
      <w:bookmarkEnd w:id="16"/>
      <w:bookmarkEnd w:id="17"/>
    </w:p>
    <w:p w14:paraId="0D844497">
      <w:pPr>
        <w:pageBreakBefore w:val="0"/>
        <w:kinsoku/>
        <w:wordWrap/>
        <w:overflowPunct/>
        <w:topLinePunct w:val="0"/>
        <w:bidi w:val="0"/>
        <w:spacing w:line="360" w:lineRule="auto"/>
        <w:ind w:firstLine="459"/>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工程质量符合</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标准。</w:t>
      </w:r>
    </w:p>
    <w:p w14:paraId="55DFAF5C">
      <w:pPr>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eastAsia="宋体" w:cs="宋体"/>
          <w:color w:val="000000"/>
          <w:sz w:val="24"/>
          <w:szCs w:val="24"/>
          <w:highlight w:val="none"/>
        </w:rPr>
      </w:pPr>
      <w:bookmarkStart w:id="18" w:name="_Toc30281"/>
      <w:bookmarkStart w:id="19" w:name="_Toc351203484"/>
      <w:r>
        <w:rPr>
          <w:rFonts w:hint="eastAsia" w:ascii="宋体" w:hAnsi="宋体" w:eastAsia="宋体" w:cs="宋体"/>
          <w:b/>
          <w:bCs/>
          <w:color w:val="000000"/>
          <w:sz w:val="24"/>
          <w:szCs w:val="24"/>
          <w:highlight w:val="none"/>
        </w:rPr>
        <w:t>四、签约合同价与合同价格形式</w:t>
      </w:r>
      <w:bookmarkEnd w:id="18"/>
      <w:bookmarkEnd w:id="19"/>
      <w:r>
        <w:rPr>
          <w:rFonts w:hint="eastAsia" w:ascii="宋体" w:hAnsi="宋体" w:eastAsia="宋体" w:cs="宋体"/>
          <w:color w:val="000000"/>
          <w:sz w:val="24"/>
          <w:szCs w:val="24"/>
          <w:highlight w:val="none"/>
        </w:rPr>
        <w:tab/>
      </w:r>
    </w:p>
    <w:p w14:paraId="043AC8E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1.签约合同价为：</w:t>
      </w:r>
    </w:p>
    <w:p w14:paraId="65B1FFEB">
      <w:pPr>
        <w:pageBreakBefore w:val="0"/>
        <w:kinsoku/>
        <w:wordWrap/>
        <w:overflowPunct/>
        <w:topLinePunct w:val="0"/>
        <w:bidi w:val="0"/>
        <w:spacing w:line="360" w:lineRule="auto"/>
        <w:ind w:firstLine="600" w:firstLineChars="2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2C270A9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其中：</w:t>
      </w:r>
    </w:p>
    <w:p w14:paraId="7B647E6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（1）安全文明施工费：</w:t>
      </w:r>
    </w:p>
    <w:p w14:paraId="56E55854">
      <w:pPr>
        <w:pageBreakBefore w:val="0"/>
        <w:kinsoku/>
        <w:wordWrap/>
        <w:overflowPunct/>
        <w:topLinePunct w:val="0"/>
        <w:bidi w:val="0"/>
        <w:spacing w:line="360" w:lineRule="auto"/>
        <w:ind w:firstLine="1080" w:firstLineChars="4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7B65B3B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（2）材料和工程设备暂估价金额：</w:t>
      </w:r>
    </w:p>
    <w:p w14:paraId="68DF4314">
      <w:pPr>
        <w:pageBreakBefore w:val="0"/>
        <w:kinsoku/>
        <w:wordWrap/>
        <w:overflowPunct/>
        <w:topLinePunct w:val="0"/>
        <w:bidi w:val="0"/>
        <w:spacing w:line="360" w:lineRule="auto"/>
        <w:ind w:firstLine="1080" w:firstLineChars="4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281CB53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（3）专业工程暂估价金额：</w:t>
      </w:r>
    </w:p>
    <w:p w14:paraId="354D95CA">
      <w:pPr>
        <w:pageBreakBefore w:val="0"/>
        <w:kinsoku/>
        <w:wordWrap/>
        <w:overflowPunct/>
        <w:topLinePunct w:val="0"/>
        <w:bidi w:val="0"/>
        <w:spacing w:line="360" w:lineRule="auto"/>
        <w:ind w:firstLine="1080" w:firstLineChars="4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1DD5918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（4）暂列金额：</w:t>
      </w:r>
    </w:p>
    <w:p w14:paraId="051A89C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72C29B5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bookmarkStart w:id="20" w:name="_Toc351203485"/>
      <w:r>
        <w:rPr>
          <w:rFonts w:hint="eastAsia" w:ascii="宋体" w:hAnsi="宋体" w:eastAsia="宋体" w:cs="宋体"/>
          <w:color w:val="000000"/>
          <w:sz w:val="24"/>
          <w:szCs w:val="24"/>
          <w:highlight w:val="none"/>
        </w:rPr>
        <w:t>2.合同价格形式：</w:t>
      </w:r>
      <w:r>
        <w:rPr>
          <w:rFonts w:hint="eastAsia" w:ascii="宋体" w:hAnsi="宋体" w:eastAsia="宋体" w:cs="宋体"/>
          <w:color w:val="000000"/>
          <w:sz w:val="24"/>
          <w:szCs w:val="24"/>
          <w:highlight w:val="none"/>
          <w:u w:val="single"/>
        </w:rPr>
        <w:t>                      </w:t>
      </w:r>
      <w:r>
        <w:rPr>
          <w:rFonts w:hint="eastAsia" w:ascii="宋体" w:hAnsi="宋体" w:eastAsia="宋体" w:cs="宋体"/>
          <w:color w:val="000000"/>
          <w:sz w:val="24"/>
          <w:szCs w:val="24"/>
          <w:highlight w:val="none"/>
        </w:rPr>
        <w:t>。</w:t>
      </w:r>
    </w:p>
    <w:p w14:paraId="6720D6B1">
      <w:pPr>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eastAsia="宋体" w:cs="宋体"/>
          <w:b/>
          <w:bCs/>
          <w:color w:val="000000"/>
          <w:sz w:val="24"/>
          <w:szCs w:val="24"/>
          <w:highlight w:val="none"/>
        </w:rPr>
      </w:pPr>
      <w:bookmarkStart w:id="21" w:name="_Toc24709"/>
      <w:r>
        <w:rPr>
          <w:rFonts w:hint="eastAsia" w:ascii="宋体" w:hAnsi="宋体" w:eastAsia="宋体" w:cs="宋体"/>
          <w:b/>
          <w:bCs/>
          <w:color w:val="000000"/>
          <w:sz w:val="24"/>
          <w:szCs w:val="24"/>
          <w:highlight w:val="none"/>
        </w:rPr>
        <w:t>五、</w:t>
      </w:r>
      <w:bookmarkEnd w:id="20"/>
      <w:r>
        <w:rPr>
          <w:rFonts w:hint="eastAsia" w:ascii="宋体" w:hAnsi="宋体" w:eastAsia="宋体" w:cs="宋体"/>
          <w:b/>
          <w:bCs/>
          <w:color w:val="000000"/>
          <w:sz w:val="24"/>
          <w:szCs w:val="24"/>
          <w:highlight w:val="none"/>
        </w:rPr>
        <w:t>项目负责人</w:t>
      </w:r>
      <w:bookmarkEnd w:id="21"/>
    </w:p>
    <w:p w14:paraId="40FC852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承包人项目负责人：</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w:t>
      </w:r>
    </w:p>
    <w:p w14:paraId="03499B67">
      <w:pPr>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eastAsia="宋体" w:cs="宋体"/>
          <w:b/>
          <w:bCs/>
          <w:color w:val="000000"/>
          <w:sz w:val="24"/>
          <w:szCs w:val="24"/>
          <w:highlight w:val="none"/>
        </w:rPr>
      </w:pPr>
      <w:bookmarkStart w:id="22" w:name="_Toc16366"/>
      <w:bookmarkStart w:id="23" w:name="_Toc351203486"/>
      <w:r>
        <w:rPr>
          <w:rFonts w:hint="eastAsia" w:ascii="宋体" w:hAnsi="宋体" w:eastAsia="宋体" w:cs="宋体"/>
          <w:b/>
          <w:bCs/>
          <w:color w:val="000000"/>
          <w:sz w:val="24"/>
          <w:szCs w:val="24"/>
          <w:highlight w:val="none"/>
        </w:rPr>
        <w:t>六、合同文件构成</w:t>
      </w:r>
      <w:bookmarkEnd w:id="22"/>
      <w:bookmarkEnd w:id="23"/>
    </w:p>
    <w:p w14:paraId="33698B0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本协议书与下列文件一起构成合同文件：</w:t>
      </w:r>
    </w:p>
    <w:p w14:paraId="5FB25001">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（1）中标通知书（如果有）；</w:t>
      </w:r>
    </w:p>
    <w:p w14:paraId="07C8B710">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（2）投标函及其附录（如果有）； </w:t>
      </w:r>
    </w:p>
    <w:p w14:paraId="3AFBFECD">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（3）专用合同条款及其附件；</w:t>
      </w:r>
    </w:p>
    <w:p w14:paraId="51B3F87A">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（4）通用合同条款；</w:t>
      </w:r>
    </w:p>
    <w:p w14:paraId="1100040E">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（5）技术标准和要求；</w:t>
      </w:r>
    </w:p>
    <w:p w14:paraId="6F80A343">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（6）图纸；</w:t>
      </w:r>
    </w:p>
    <w:p w14:paraId="2A270E0A">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（7）已标价工程量清单或预算书；</w:t>
      </w:r>
    </w:p>
    <w:p w14:paraId="0E3731D0">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（8）其他合同文件。</w:t>
      </w:r>
    </w:p>
    <w:p w14:paraId="73CD8E27">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在合同订立及履行过程中形成的与合同有关的文件均构成合同文件组成部分。</w:t>
      </w:r>
    </w:p>
    <w:p w14:paraId="6BEA6B2C">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079B544">
      <w:pPr>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eastAsia="宋体" w:cs="宋体"/>
          <w:b/>
          <w:bCs/>
          <w:color w:val="000000"/>
          <w:sz w:val="24"/>
          <w:szCs w:val="24"/>
          <w:highlight w:val="none"/>
        </w:rPr>
      </w:pPr>
      <w:bookmarkStart w:id="24" w:name="_Toc351203487"/>
      <w:bookmarkStart w:id="25" w:name="_Toc16203"/>
      <w:r>
        <w:rPr>
          <w:rFonts w:hint="eastAsia" w:ascii="宋体" w:hAnsi="宋体" w:eastAsia="宋体" w:cs="宋体"/>
          <w:b/>
          <w:bCs/>
          <w:color w:val="000000"/>
          <w:sz w:val="24"/>
          <w:szCs w:val="24"/>
          <w:highlight w:val="none"/>
        </w:rPr>
        <w:t>七、承诺</w:t>
      </w:r>
      <w:bookmarkEnd w:id="24"/>
      <w:bookmarkEnd w:id="25"/>
    </w:p>
    <w:p w14:paraId="3DF583A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1.发包人承诺按照法律规定履行项目审批手续、筹集工程建设资金并按照合同约定的期限和方式支付合同价款。</w:t>
      </w:r>
    </w:p>
    <w:p w14:paraId="3856C03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2090B67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3.发包人和承包人通过招投标形式签订合同的，双方理解并承诺不再就同一工程另行签订与合同实质性内容相背离的协议。</w:t>
      </w:r>
    </w:p>
    <w:p w14:paraId="72CB7A02">
      <w:pPr>
        <w:pageBreakBefore w:val="0"/>
        <w:numPr>
          <w:ilvl w:val="0"/>
          <w:numId w:val="0"/>
        </w:numPr>
        <w:kinsoku/>
        <w:wordWrap/>
        <w:overflowPunct/>
        <w:topLinePunct w:val="0"/>
        <w:bidi w:val="0"/>
        <w:spacing w:before="120" w:after="120" w:line="360" w:lineRule="auto"/>
        <w:jc w:val="left"/>
        <w:textAlignment w:val="auto"/>
        <w:outlineLvl w:val="9"/>
        <w:rPr>
          <w:rFonts w:hint="eastAsia" w:ascii="宋体" w:hAnsi="宋体" w:eastAsia="宋体" w:cs="宋体"/>
          <w:b/>
          <w:bCs/>
          <w:color w:val="000000"/>
          <w:sz w:val="24"/>
          <w:szCs w:val="24"/>
          <w:highlight w:val="none"/>
        </w:rPr>
      </w:pPr>
      <w:bookmarkStart w:id="26" w:name="_Toc351203488"/>
      <w:bookmarkStart w:id="27" w:name="_Toc16539"/>
      <w:r>
        <w:rPr>
          <w:rFonts w:hint="eastAsia" w:ascii="宋体" w:hAnsi="宋体" w:eastAsia="宋体" w:cs="宋体"/>
          <w:b/>
          <w:bCs/>
          <w:color w:val="000000"/>
          <w:sz w:val="24"/>
          <w:szCs w:val="24"/>
          <w:highlight w:val="none"/>
        </w:rPr>
        <w:t>八、词语含义</w:t>
      </w:r>
      <w:bookmarkEnd w:id="26"/>
      <w:bookmarkEnd w:id="27"/>
    </w:p>
    <w:p w14:paraId="4C46D87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本协议书中词语含义与第二部分通用合同条款中赋予的含义相同。</w:t>
      </w:r>
    </w:p>
    <w:p w14:paraId="55145133">
      <w:pPr>
        <w:pageBreakBefore w:val="0"/>
        <w:kinsoku/>
        <w:wordWrap/>
        <w:overflowPunct/>
        <w:topLinePunct w:val="0"/>
        <w:bidi w:val="0"/>
        <w:spacing w:before="120" w:after="120" w:line="360" w:lineRule="auto"/>
        <w:textAlignment w:val="auto"/>
        <w:outlineLvl w:val="9"/>
        <w:rPr>
          <w:rFonts w:hint="eastAsia" w:ascii="宋体" w:hAnsi="宋体" w:eastAsia="宋体" w:cs="宋体"/>
          <w:bCs w:val="0"/>
          <w:color w:val="000000"/>
          <w:sz w:val="24"/>
          <w:szCs w:val="24"/>
          <w:highlight w:val="none"/>
        </w:rPr>
      </w:pPr>
      <w:bookmarkStart w:id="28" w:name="_Toc351203489"/>
      <w:r>
        <w:rPr>
          <w:rFonts w:hint="eastAsia" w:ascii="宋体" w:hAnsi="宋体" w:eastAsia="宋体" w:cs="宋体"/>
          <w:color w:val="000000"/>
          <w:sz w:val="24"/>
          <w:szCs w:val="24"/>
          <w:highlight w:val="none"/>
        </w:rPr>
        <w:t>九、签订时间</w:t>
      </w:r>
      <w:bookmarkEnd w:id="28"/>
    </w:p>
    <w:p w14:paraId="7ED03E6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本合同于</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年</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月</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日签订。</w:t>
      </w:r>
    </w:p>
    <w:p w14:paraId="5E98AB62">
      <w:pPr>
        <w:pageBreakBefore w:val="0"/>
        <w:kinsoku/>
        <w:wordWrap/>
        <w:overflowPunct/>
        <w:topLinePunct w:val="0"/>
        <w:bidi w:val="0"/>
        <w:spacing w:before="120" w:after="120" w:line="360" w:lineRule="auto"/>
        <w:textAlignment w:val="auto"/>
        <w:outlineLvl w:val="9"/>
        <w:rPr>
          <w:rFonts w:hint="eastAsia" w:ascii="宋体" w:hAnsi="宋体" w:eastAsia="宋体" w:cs="宋体"/>
          <w:bCs w:val="0"/>
          <w:color w:val="000000"/>
          <w:sz w:val="24"/>
          <w:szCs w:val="24"/>
          <w:highlight w:val="none"/>
        </w:rPr>
      </w:pPr>
      <w:bookmarkStart w:id="29" w:name="_Toc351203490"/>
      <w:r>
        <w:rPr>
          <w:rFonts w:hint="eastAsia" w:ascii="宋体" w:hAnsi="宋体" w:eastAsia="宋体" w:cs="宋体"/>
          <w:color w:val="000000"/>
          <w:sz w:val="24"/>
          <w:szCs w:val="24"/>
          <w:highlight w:val="none"/>
        </w:rPr>
        <w:t>十、签订地点</w:t>
      </w:r>
      <w:bookmarkEnd w:id="29"/>
    </w:p>
    <w:p w14:paraId="3607F49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本合同在</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签订。</w:t>
      </w:r>
    </w:p>
    <w:p w14:paraId="23287EDC">
      <w:pPr>
        <w:pageBreakBefore w:val="0"/>
        <w:kinsoku/>
        <w:wordWrap/>
        <w:overflowPunct/>
        <w:topLinePunct w:val="0"/>
        <w:bidi w:val="0"/>
        <w:spacing w:before="120" w:after="120" w:line="360" w:lineRule="auto"/>
        <w:textAlignment w:val="auto"/>
        <w:outlineLvl w:val="9"/>
        <w:rPr>
          <w:rFonts w:hint="eastAsia" w:ascii="宋体" w:hAnsi="宋体" w:eastAsia="宋体" w:cs="宋体"/>
          <w:bCs w:val="0"/>
          <w:color w:val="000000"/>
          <w:sz w:val="24"/>
          <w:szCs w:val="24"/>
          <w:highlight w:val="none"/>
        </w:rPr>
      </w:pPr>
      <w:bookmarkStart w:id="30" w:name="_Toc351203491"/>
      <w:r>
        <w:rPr>
          <w:rFonts w:hint="eastAsia" w:ascii="宋体" w:hAnsi="宋体" w:eastAsia="宋体" w:cs="宋体"/>
          <w:color w:val="000000"/>
          <w:sz w:val="24"/>
          <w:szCs w:val="24"/>
          <w:highlight w:val="none"/>
        </w:rPr>
        <w:t>十一、补充协议</w:t>
      </w:r>
      <w:bookmarkEnd w:id="30"/>
    </w:p>
    <w:p w14:paraId="2D444AEB">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合同未尽事宜，合同当事人另行签订补充协议，补充协议是合同的组成部分。</w:t>
      </w:r>
    </w:p>
    <w:p w14:paraId="280782CB">
      <w:pPr>
        <w:pageBreakBefore w:val="0"/>
        <w:kinsoku/>
        <w:wordWrap/>
        <w:overflowPunct/>
        <w:topLinePunct w:val="0"/>
        <w:bidi w:val="0"/>
        <w:spacing w:before="120" w:after="120" w:line="360" w:lineRule="auto"/>
        <w:textAlignment w:val="auto"/>
        <w:outlineLvl w:val="9"/>
        <w:rPr>
          <w:rFonts w:hint="eastAsia" w:ascii="宋体" w:hAnsi="宋体" w:eastAsia="宋体" w:cs="宋体"/>
          <w:bCs w:val="0"/>
          <w:color w:val="000000"/>
          <w:sz w:val="24"/>
          <w:szCs w:val="24"/>
          <w:highlight w:val="none"/>
        </w:rPr>
      </w:pPr>
      <w:bookmarkStart w:id="31" w:name="_Toc351203492"/>
      <w:r>
        <w:rPr>
          <w:rFonts w:hint="eastAsia" w:ascii="宋体" w:hAnsi="宋体" w:eastAsia="宋体" w:cs="宋体"/>
          <w:color w:val="000000"/>
          <w:sz w:val="24"/>
          <w:szCs w:val="24"/>
          <w:highlight w:val="none"/>
        </w:rPr>
        <w:t>十二、合同生效</w:t>
      </w:r>
      <w:bookmarkEnd w:id="31"/>
    </w:p>
    <w:p w14:paraId="595270A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本合同自</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生效。</w:t>
      </w:r>
    </w:p>
    <w:p w14:paraId="3501480A">
      <w:pPr>
        <w:pageBreakBefore w:val="0"/>
        <w:kinsoku/>
        <w:wordWrap/>
        <w:overflowPunct/>
        <w:topLinePunct w:val="0"/>
        <w:bidi w:val="0"/>
        <w:spacing w:before="120" w:after="120" w:line="360" w:lineRule="auto"/>
        <w:textAlignment w:val="auto"/>
        <w:outlineLvl w:val="9"/>
        <w:rPr>
          <w:rFonts w:hint="eastAsia" w:ascii="宋体" w:hAnsi="宋体" w:eastAsia="宋体" w:cs="宋体"/>
          <w:bCs w:val="0"/>
          <w:color w:val="000000"/>
          <w:sz w:val="24"/>
          <w:szCs w:val="24"/>
          <w:highlight w:val="none"/>
        </w:rPr>
      </w:pPr>
      <w:bookmarkStart w:id="32" w:name="_Toc351203493"/>
      <w:r>
        <w:rPr>
          <w:rFonts w:hint="eastAsia" w:ascii="宋体" w:hAnsi="宋体" w:eastAsia="宋体" w:cs="宋体"/>
          <w:color w:val="000000"/>
          <w:sz w:val="24"/>
          <w:szCs w:val="24"/>
          <w:highlight w:val="none"/>
        </w:rPr>
        <w:t>十三、合同份数</w:t>
      </w:r>
      <w:bookmarkEnd w:id="32"/>
    </w:p>
    <w:p w14:paraId="1A58FF1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本合同一式</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份，均具有同等法律效力，发包人执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份，承包人执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w:t>
      </w:r>
    </w:p>
    <w:p w14:paraId="1932D091">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  (公章)                   承包人：  (公章)</w:t>
      </w:r>
    </w:p>
    <w:p w14:paraId="6536A10D">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         法定代表人或其委托代理人：</w:t>
      </w:r>
    </w:p>
    <w:p w14:paraId="57452B4B">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（签字）                           （签字）</w:t>
      </w:r>
    </w:p>
    <w:p w14:paraId="6D8E6D91">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组织机构代码：                组织机构代码：           </w:t>
      </w:r>
    </w:p>
    <w:p w14:paraId="46A6C8F9">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地  址：               地  址：        </w:t>
      </w:r>
    </w:p>
    <w:p w14:paraId="3CA33346">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邮政编码：               邮政编码： </w:t>
      </w:r>
    </w:p>
    <w:p w14:paraId="49B9D841">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法定代表人：                     法定代表人：             </w:t>
      </w:r>
    </w:p>
    <w:p w14:paraId="4A6E21F9">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                     委托代理人：             </w:t>
      </w:r>
    </w:p>
    <w:p w14:paraId="626D1C1A">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  话：             电  话：    </w:t>
      </w:r>
    </w:p>
    <w:p w14:paraId="367CFD28">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开户银行：               开户银行：  </w:t>
      </w:r>
    </w:p>
    <w:p w14:paraId="642F6318">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Cs w:val="21"/>
          <w:highlight w:val="none"/>
        </w:rPr>
      </w:pPr>
      <w:r>
        <w:rPr>
          <w:rFonts w:hint="eastAsia" w:ascii="宋体" w:hAnsi="宋体" w:eastAsia="宋体" w:cs="宋体"/>
          <w:color w:val="000000"/>
          <w:sz w:val="24"/>
          <w:szCs w:val="24"/>
          <w:highlight w:val="none"/>
        </w:rPr>
        <w:t xml:space="preserve">账  号：                    账  号： </w:t>
      </w:r>
      <w:r>
        <w:rPr>
          <w:rFonts w:hint="eastAsia" w:ascii="宋体" w:hAnsi="宋体" w:eastAsia="宋体" w:cs="宋体"/>
          <w:color w:val="000000"/>
          <w:szCs w:val="21"/>
          <w:highlight w:val="none"/>
        </w:rPr>
        <w:t xml:space="preserve">    </w:t>
      </w:r>
    </w:p>
    <w:p w14:paraId="0A7CDE11">
      <w:pPr>
        <w:keepNext/>
        <w:keepLines/>
        <w:pageBreakBefore w:val="0"/>
        <w:widowControl w:val="0"/>
        <w:kinsoku/>
        <w:wordWrap/>
        <w:overflowPunct/>
        <w:topLinePunct w:val="0"/>
        <w:autoSpaceDE/>
        <w:autoSpaceDN/>
        <w:bidi w:val="0"/>
        <w:adjustRightInd/>
        <w:snapToGrid/>
        <w:spacing w:before="120" w:after="120" w:line="413" w:lineRule="auto"/>
        <w:jc w:val="center"/>
        <w:textAlignment w:val="auto"/>
        <w:outlineLvl w:val="9"/>
        <w:rPr>
          <w:rFonts w:hint="eastAsia" w:ascii="宋体" w:hAnsi="宋体" w:eastAsia="宋体" w:cs="宋体"/>
          <w:sz w:val="30"/>
          <w:szCs w:val="30"/>
          <w:highlight w:val="none"/>
        </w:rPr>
      </w:pPr>
      <w:r>
        <w:rPr>
          <w:rFonts w:hint="eastAsia" w:ascii="宋体" w:hAnsi="宋体" w:eastAsia="宋体" w:cs="宋体"/>
          <w:sz w:val="21"/>
          <w:highlight w:val="none"/>
        </w:rPr>
        <w:br w:type="page"/>
      </w:r>
      <w:bookmarkStart w:id="33" w:name="_Toc351203494"/>
      <w:bookmarkStart w:id="34" w:name="_Toc30182"/>
      <w:r>
        <w:rPr>
          <w:rFonts w:hint="eastAsia" w:ascii="宋体" w:hAnsi="宋体" w:eastAsia="宋体" w:cs="宋体"/>
          <w:sz w:val="28"/>
          <w:szCs w:val="28"/>
          <w:highlight w:val="none"/>
        </w:rPr>
        <w:t>第二部分 通用合同条款</w:t>
      </w:r>
      <w:bookmarkEnd w:id="33"/>
      <w:bookmarkEnd w:id="34"/>
      <w:bookmarkStart w:id="35" w:name="_Toc337558727"/>
    </w:p>
    <w:bookmarkEnd w:id="35"/>
    <w:p w14:paraId="59C6BD74">
      <w:pPr>
        <w:pageBreakBefore w:val="0"/>
        <w:kinsoku/>
        <w:wordWrap/>
        <w:overflowPunct/>
        <w:topLinePunct w:val="0"/>
        <w:bidi w:val="0"/>
        <w:jc w:val="center"/>
        <w:textAlignment w:val="auto"/>
        <w:outlineLvl w:val="9"/>
        <w:rPr>
          <w:rFonts w:hint="eastAsia" w:ascii="宋体" w:hAnsi="宋体" w:eastAsia="宋体" w:cs="宋体"/>
          <w:b/>
          <w:bCs/>
          <w:sz w:val="28"/>
          <w:szCs w:val="28"/>
          <w:highlight w:val="none"/>
        </w:rPr>
      </w:pPr>
      <w:bookmarkStart w:id="36" w:name="_Toc351203632"/>
      <w:r>
        <w:rPr>
          <w:rFonts w:hint="eastAsia" w:ascii="宋体" w:hAnsi="宋体" w:eastAsia="宋体" w:cs="宋体"/>
          <w:b/>
          <w:bCs/>
          <w:sz w:val="28"/>
          <w:szCs w:val="28"/>
          <w:highlight w:val="none"/>
        </w:rPr>
        <w:t>（略）</w:t>
      </w:r>
    </w:p>
    <w:p w14:paraId="72C85061">
      <w:pPr>
        <w:pageBreakBefore w:val="0"/>
        <w:kinsoku/>
        <w:wordWrap/>
        <w:overflowPunct/>
        <w:topLinePunct w:val="0"/>
        <w:bidi w:val="0"/>
        <w:jc w:val="center"/>
        <w:textAlignment w:val="auto"/>
        <w:outlineLvl w:val="9"/>
        <w:rPr>
          <w:rFonts w:hint="eastAsia" w:ascii="宋体" w:hAnsi="宋体" w:eastAsia="宋体" w:cs="宋体"/>
          <w:sz w:val="22"/>
          <w:highlight w:val="none"/>
        </w:rPr>
      </w:pPr>
      <w:r>
        <w:rPr>
          <w:rFonts w:hint="eastAsia" w:ascii="宋体" w:hAnsi="宋体" w:eastAsia="宋体" w:cs="宋体"/>
          <w:sz w:val="24"/>
          <w:szCs w:val="24"/>
          <w:highlight w:val="none"/>
        </w:rPr>
        <w:t>按照（GF—2017—0201）标准合同通用合同条款执行</w:t>
      </w:r>
      <w:r>
        <w:rPr>
          <w:rFonts w:hint="eastAsia" w:ascii="宋体" w:hAnsi="宋体" w:eastAsia="宋体" w:cs="宋体"/>
          <w:sz w:val="28"/>
          <w:szCs w:val="28"/>
          <w:highlight w:val="none"/>
        </w:rPr>
        <w:br w:type="page"/>
      </w:r>
      <w:bookmarkStart w:id="37" w:name="_Toc17412"/>
      <w:r>
        <w:rPr>
          <w:rFonts w:hint="eastAsia" w:ascii="宋体" w:hAnsi="宋体" w:eastAsia="宋体" w:cs="宋体"/>
          <w:b/>
          <w:kern w:val="2"/>
          <w:sz w:val="28"/>
          <w:szCs w:val="28"/>
          <w:highlight w:val="none"/>
          <w:lang w:val="en-US" w:eastAsia="zh-CN" w:bidi="ar"/>
        </w:rPr>
        <w:t>第三部分 专用合同条款</w:t>
      </w:r>
      <w:bookmarkEnd w:id="36"/>
      <w:bookmarkEnd w:id="37"/>
    </w:p>
    <w:p w14:paraId="4DAE0750">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38" w:name="_Toc351203633"/>
      <w:r>
        <w:rPr>
          <w:rFonts w:hint="eastAsia" w:ascii="宋体" w:hAnsi="宋体" w:eastAsia="宋体" w:cs="宋体"/>
          <w:b w:val="0"/>
          <w:color w:val="000000"/>
          <w:sz w:val="24"/>
          <w:szCs w:val="24"/>
          <w:highlight w:val="none"/>
        </w:rPr>
        <w:t>1</w:t>
      </w:r>
      <w:bookmarkStart w:id="39" w:name="_Toc296347155"/>
      <w:bookmarkStart w:id="40" w:name="_Toc292559361"/>
      <w:bookmarkStart w:id="41" w:name="_Toc296890984"/>
      <w:bookmarkStart w:id="42" w:name="_Toc297048342"/>
      <w:bookmarkStart w:id="43" w:name="_Toc292559866"/>
      <w:bookmarkStart w:id="44" w:name="_Toc297120456"/>
      <w:bookmarkStart w:id="45" w:name="_Toc296891196"/>
      <w:bookmarkStart w:id="46" w:name="_Toc296346657"/>
      <w:bookmarkStart w:id="47" w:name="_Toc296503156"/>
      <w:bookmarkStart w:id="48" w:name="_Toc296944495"/>
      <w:r>
        <w:rPr>
          <w:rFonts w:hint="eastAsia" w:ascii="宋体" w:hAnsi="宋体" w:eastAsia="宋体" w:cs="宋体"/>
          <w:b w:val="0"/>
          <w:color w:val="000000"/>
          <w:sz w:val="24"/>
          <w:szCs w:val="24"/>
          <w:highlight w:val="none"/>
        </w:rPr>
        <w:t>. 一般约定</w:t>
      </w:r>
      <w:bookmarkEnd w:id="38"/>
    </w:p>
    <w:bookmarkEnd w:id="39"/>
    <w:bookmarkEnd w:id="40"/>
    <w:bookmarkEnd w:id="41"/>
    <w:bookmarkEnd w:id="42"/>
    <w:bookmarkEnd w:id="43"/>
    <w:bookmarkEnd w:id="44"/>
    <w:bookmarkEnd w:id="45"/>
    <w:bookmarkEnd w:id="46"/>
    <w:bookmarkEnd w:id="47"/>
    <w:bookmarkEnd w:id="48"/>
    <w:p w14:paraId="7D2B70AC">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49" w:name="_Toc665"/>
      <w:bookmarkStart w:id="50" w:name="_Toc31318"/>
      <w:bookmarkStart w:id="51" w:name="_Toc18339"/>
      <w:r>
        <w:rPr>
          <w:rFonts w:hint="eastAsia" w:ascii="宋体" w:hAnsi="宋体" w:eastAsia="宋体" w:cs="宋体"/>
          <w:color w:val="000000"/>
          <w:sz w:val="24"/>
          <w:szCs w:val="24"/>
          <w:highlight w:val="none"/>
        </w:rPr>
        <w:t>1.1 词语定义</w:t>
      </w:r>
      <w:bookmarkEnd w:id="49"/>
      <w:bookmarkEnd w:id="50"/>
      <w:bookmarkEnd w:id="51"/>
    </w:p>
    <w:p w14:paraId="6028C0E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1.1.1合同</w:t>
      </w:r>
    </w:p>
    <w:p w14:paraId="0CD18ABB">
      <w:pPr>
        <w:pageBreakBefore w:val="0"/>
        <w:kinsoku/>
        <w:wordWrap/>
        <w:overflowPunct/>
        <w:topLinePunct w:val="0"/>
        <w:bidi w:val="0"/>
        <w:spacing w:line="360" w:lineRule="auto"/>
        <w:ind w:left="560" w:leftChars="200" w:firstLine="0" w:firstLineChars="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1.1.1.10其他合同文件包括：</w:t>
      </w:r>
      <w:r>
        <w:rPr>
          <w:rFonts w:hint="eastAsia" w:ascii="宋体" w:hAnsi="宋体" w:eastAsia="宋体" w:cs="宋体"/>
          <w:sz w:val="24"/>
          <w:szCs w:val="24"/>
          <w:highlight w:val="none"/>
          <w:u w:val="single"/>
        </w:rPr>
        <w:t>合同履行中，发包人、承包人有关工程的洽商、变更等书面协议或文件视为本合同的组成部分</w:t>
      </w:r>
      <w:r>
        <w:rPr>
          <w:rFonts w:hint="eastAsia" w:ascii="宋体" w:hAnsi="宋体" w:eastAsia="宋体" w:cs="宋体"/>
          <w:sz w:val="24"/>
          <w:szCs w:val="24"/>
          <w:highlight w:val="none"/>
          <w:u w:val="none"/>
        </w:rPr>
        <w:t>。</w:t>
      </w:r>
    </w:p>
    <w:p w14:paraId="2640AB0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 合同当事人及其他相关方</w:t>
      </w:r>
    </w:p>
    <w:p w14:paraId="7E2746B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1.1.2.4监理人：</w:t>
      </w:r>
    </w:p>
    <w:p w14:paraId="661631C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5C8B8F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93B6D3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936113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6BF1F1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11C73C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1.1.2.5 设计人：</w:t>
      </w:r>
    </w:p>
    <w:p w14:paraId="170866E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8336D5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资质类别和等级：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CB5C70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897859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15F6A4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FF609D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 工程和设备</w:t>
      </w:r>
    </w:p>
    <w:p w14:paraId="46FD850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1.1.3.7 作为施工现场组成部分的其他场所包括：</w:t>
      </w:r>
      <w:r>
        <w:rPr>
          <w:rFonts w:hint="eastAsia" w:ascii="宋体" w:hAnsi="宋体" w:eastAsia="宋体" w:cs="宋体"/>
          <w:color w:val="000000"/>
          <w:sz w:val="24"/>
          <w:szCs w:val="24"/>
          <w:highlight w:val="none"/>
          <w:u w:val="single"/>
        </w:rPr>
        <w:t>临时设施及永久占地</w:t>
      </w:r>
      <w:r>
        <w:rPr>
          <w:rFonts w:hint="eastAsia" w:ascii="宋体" w:hAnsi="宋体" w:eastAsia="宋体" w:cs="宋体"/>
          <w:color w:val="000000"/>
          <w:sz w:val="24"/>
          <w:szCs w:val="24"/>
          <w:highlight w:val="none"/>
        </w:rPr>
        <w:t>。</w:t>
      </w:r>
    </w:p>
    <w:p w14:paraId="04421B6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1.1.3.9 永久占地包括：</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kern w:val="0"/>
          <w:sz w:val="24"/>
          <w:szCs w:val="24"/>
          <w:highlight w:val="none"/>
        </w:rPr>
        <w:t>。</w:t>
      </w:r>
    </w:p>
    <w:p w14:paraId="190D8A4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1.1.3.10 临时占地包括：</w:t>
      </w:r>
      <w:r>
        <w:rPr>
          <w:rFonts w:hint="eastAsia" w:ascii="宋体" w:hAnsi="宋体" w:eastAsia="宋体" w:cs="宋体"/>
          <w:color w:val="000000"/>
          <w:sz w:val="24"/>
          <w:szCs w:val="24"/>
          <w:highlight w:val="none"/>
          <w:u w:val="single"/>
        </w:rPr>
        <w:t xml:space="preserve">          无         </w:t>
      </w:r>
      <w:r>
        <w:rPr>
          <w:rFonts w:hint="eastAsia" w:ascii="宋体" w:hAnsi="宋体" w:eastAsia="宋体" w:cs="宋体"/>
          <w:color w:val="000000"/>
          <w:kern w:val="0"/>
          <w:sz w:val="24"/>
          <w:szCs w:val="24"/>
          <w:highlight w:val="none"/>
        </w:rPr>
        <w:t>。</w:t>
      </w:r>
    </w:p>
    <w:p w14:paraId="783F7DF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1.3法律 </w:t>
      </w:r>
    </w:p>
    <w:p w14:paraId="694E2992">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适用于合同的其他规范性文件：</w:t>
      </w:r>
      <w:r>
        <w:rPr>
          <w:rFonts w:hint="eastAsia" w:ascii="宋体" w:hAnsi="宋体" w:eastAsia="宋体" w:cs="宋体"/>
          <w:color w:val="000000"/>
          <w:sz w:val="24"/>
          <w:szCs w:val="24"/>
          <w:highlight w:val="none"/>
          <w:u w:val="single"/>
        </w:rPr>
        <w:t>《中华人民共和国</w:t>
      </w:r>
      <w:r>
        <w:rPr>
          <w:rFonts w:hint="eastAsia" w:ascii="宋体" w:hAnsi="宋体" w:eastAsia="宋体" w:cs="宋体"/>
          <w:color w:val="000000"/>
          <w:sz w:val="24"/>
          <w:szCs w:val="24"/>
          <w:highlight w:val="none"/>
          <w:u w:val="single"/>
          <w:lang w:val="en-US" w:eastAsia="zh-CN"/>
        </w:rPr>
        <w:t>民法典</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rPr>
        <w:t xml:space="preserve">《中华人民共和国建筑法》、《中华人民共和国招标投标法》、国务院《建设工程质量管理条例》、国务院《建设工程安全生产管理条例》、建设部《房屋建筑工程和市政基础设施工程竣工验收备案管理暂行办法》、建设部《房屋建筑工程质量保修办法》、《建筑工程工程量清单计价规范》、《陕西省建设工程工程量清单计价规则》（2009 版）、中华人民共和国《工程建设标准强制性条文》、现行《建筑工程质量验收统一标准》、《建筑工程施工及验收规范》等国家、部门及地方现行及后续的有关法律、法规、规章、规范性文件等 </w:t>
      </w:r>
      <w:r>
        <w:rPr>
          <w:rFonts w:hint="eastAsia" w:ascii="宋体" w:hAnsi="宋体" w:eastAsia="宋体" w:cs="宋体"/>
          <w:color w:val="000000"/>
          <w:sz w:val="24"/>
          <w:szCs w:val="24"/>
          <w:highlight w:val="none"/>
          <w:u w:val="none"/>
        </w:rPr>
        <w:t>。</w:t>
      </w:r>
    </w:p>
    <w:p w14:paraId="5DBDFD68">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 标准和规范</w:t>
      </w:r>
    </w:p>
    <w:p w14:paraId="3A775BE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1.4.1适用于工程的标准规范包括：</w:t>
      </w:r>
      <w:r>
        <w:rPr>
          <w:rFonts w:hint="eastAsia" w:ascii="宋体" w:hAnsi="宋体" w:eastAsia="宋体" w:cs="宋体"/>
          <w:color w:val="000000"/>
          <w:sz w:val="24"/>
          <w:szCs w:val="24"/>
          <w:highlight w:val="none"/>
          <w:u w:val="single"/>
        </w:rPr>
        <w:t xml:space="preserve"> 执行国家现行的技术标准、施工验收规范及质量检验评定标准，以及材料、设备所涉及的现行国家、省、市或行业的工程建设标准、规范的要求  </w:t>
      </w:r>
      <w:r>
        <w:rPr>
          <w:rFonts w:hint="eastAsia" w:ascii="宋体" w:hAnsi="宋体" w:eastAsia="宋体" w:cs="宋体"/>
          <w:color w:val="000000"/>
          <w:sz w:val="24"/>
          <w:szCs w:val="24"/>
          <w:highlight w:val="none"/>
          <w:u w:val="none"/>
        </w:rPr>
        <w:t>。</w:t>
      </w:r>
    </w:p>
    <w:p w14:paraId="225D5BC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bookmarkStart w:id="52" w:name="_Toc13115"/>
      <w:bookmarkStart w:id="53" w:name="_Toc32645"/>
      <w:bookmarkStart w:id="54" w:name="_Toc6044"/>
      <w:r>
        <w:rPr>
          <w:rFonts w:hint="eastAsia" w:ascii="宋体" w:hAnsi="宋体" w:eastAsia="宋体" w:cs="宋体"/>
          <w:color w:val="000000"/>
          <w:kern w:val="0"/>
          <w:sz w:val="24"/>
          <w:szCs w:val="24"/>
          <w:highlight w:val="none"/>
        </w:rPr>
        <w:t>1.4.2 发包人提供国外标准、规范的名称：</w:t>
      </w:r>
      <w:r>
        <w:rPr>
          <w:rFonts w:hint="eastAsia" w:ascii="宋体" w:hAnsi="宋体" w:eastAsia="宋体" w:cs="宋体"/>
          <w:color w:val="000000"/>
          <w:sz w:val="24"/>
          <w:szCs w:val="24"/>
          <w:highlight w:val="none"/>
          <w:u w:val="single"/>
        </w:rPr>
        <w:t xml:space="preserve"> 凡涉及国内没有相应标准、规范、规程的，承包人应立即通知发包人,并提供拟采用相应标准（如国外标准等）、规范或经验做法、需要的理由和时间，由发包人确认方可执行。本条所发生的购买、翻译标准、规范或制定施工工艺的费用，由承包人承担 </w:t>
      </w:r>
      <w:r>
        <w:rPr>
          <w:rFonts w:hint="eastAsia" w:ascii="宋体" w:hAnsi="宋体" w:eastAsia="宋体" w:cs="宋体"/>
          <w:color w:val="000000"/>
          <w:kern w:val="0"/>
          <w:sz w:val="24"/>
          <w:szCs w:val="24"/>
          <w:highlight w:val="none"/>
        </w:rPr>
        <w:t>；</w:t>
      </w:r>
      <w:bookmarkEnd w:id="52"/>
      <w:bookmarkEnd w:id="53"/>
      <w:bookmarkEnd w:id="54"/>
    </w:p>
    <w:p w14:paraId="692623FE">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发包人提供国外标准、规范的份数：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14:paraId="125753A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发包人提供国外标准、规范的名称：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14:paraId="4CB17BAC">
      <w:pPr>
        <w:pageBreakBefore w:val="0"/>
        <w:kinsoku/>
        <w:wordWrap/>
        <w:overflowPunct/>
        <w:topLinePunct w:val="0"/>
        <w:bidi w:val="0"/>
        <w:spacing w:line="360" w:lineRule="auto"/>
        <w:ind w:left="560" w:left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1.4.3发包人对工程的技术标准和功能要求的特殊要求：</w:t>
      </w:r>
      <w:r>
        <w:rPr>
          <w:rFonts w:hint="eastAsia" w:ascii="宋体" w:hAnsi="宋体" w:eastAsia="宋体" w:cs="宋体"/>
          <w:color w:val="000000"/>
          <w:sz w:val="24"/>
          <w:szCs w:val="24"/>
          <w:highlight w:val="none"/>
          <w:u w:val="single"/>
        </w:rPr>
        <w:t xml:space="preserve">采用行业或地方标准及规范，满足施工要求   </w:t>
      </w:r>
      <w:r>
        <w:rPr>
          <w:rFonts w:hint="eastAsia" w:ascii="宋体" w:hAnsi="宋体" w:eastAsia="宋体" w:cs="宋体"/>
          <w:color w:val="000000"/>
          <w:sz w:val="24"/>
          <w:szCs w:val="24"/>
          <w:highlight w:val="none"/>
        </w:rPr>
        <w:t>。</w:t>
      </w:r>
    </w:p>
    <w:p w14:paraId="64ACA0C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55" w:name="_Toc26276"/>
      <w:bookmarkStart w:id="56" w:name="_Toc19053"/>
      <w:bookmarkStart w:id="57" w:name="_Toc5348"/>
      <w:r>
        <w:rPr>
          <w:rFonts w:hint="eastAsia" w:ascii="宋体" w:hAnsi="宋体" w:eastAsia="宋体" w:cs="宋体"/>
          <w:color w:val="000000"/>
          <w:sz w:val="24"/>
          <w:szCs w:val="24"/>
          <w:highlight w:val="none"/>
        </w:rPr>
        <w:t>1.5 合同文件的优先顺序</w:t>
      </w:r>
      <w:bookmarkEnd w:id="55"/>
      <w:bookmarkEnd w:id="56"/>
      <w:bookmarkEnd w:id="57"/>
    </w:p>
    <w:p w14:paraId="1E96B81C">
      <w:pPr>
        <w:pStyle w:val="15"/>
        <w:pageBreakBefore w:val="0"/>
        <w:kinsoku/>
        <w:wordWrap/>
        <w:overflowPunct/>
        <w:topLinePunct w:val="0"/>
        <w:bidi w:val="0"/>
        <w:spacing w:line="360" w:lineRule="auto"/>
        <w:ind w:left="13" w:firstLine="463" w:firstLineChars="19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合同文件组成及优先顺序为：</w:t>
      </w:r>
      <w:r>
        <w:rPr>
          <w:rFonts w:hint="eastAsia" w:ascii="宋体" w:hAnsi="宋体" w:eastAsia="宋体" w:cs="宋体"/>
          <w:sz w:val="24"/>
          <w:szCs w:val="24"/>
          <w:highlight w:val="none"/>
          <w:u w:val="single"/>
        </w:rPr>
        <w:t>1）本合同协议书；2）中标通知书；3）投标书及其附件；4）本合同专用条款及其附件；5）本合同通用条款；6）标准规范及有关技术文件；7）图纸；8）工程量清单及报价单；9）双方有关的工程洽商工作联系单、变更通知、现场签证文件等书面协议或文件</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10）其他合同文件</w:t>
      </w:r>
      <w:r>
        <w:rPr>
          <w:rFonts w:hint="eastAsia" w:ascii="宋体" w:hAnsi="宋体" w:eastAsia="宋体" w:cs="宋体"/>
          <w:sz w:val="24"/>
          <w:szCs w:val="24"/>
          <w:highlight w:val="none"/>
          <w:u w:val="none"/>
        </w:rPr>
        <w:t>。</w:t>
      </w:r>
    </w:p>
    <w:p w14:paraId="44F9B01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58" w:name="_Toc18242"/>
      <w:bookmarkStart w:id="59" w:name="_Toc7463"/>
      <w:bookmarkStart w:id="60" w:name="_Toc1456"/>
      <w:r>
        <w:rPr>
          <w:rFonts w:hint="eastAsia" w:ascii="宋体" w:hAnsi="宋体" w:eastAsia="宋体" w:cs="宋体"/>
          <w:color w:val="000000"/>
          <w:sz w:val="24"/>
          <w:szCs w:val="24"/>
          <w:highlight w:val="none"/>
        </w:rPr>
        <w:t>1.6 图纸和承包人文件</w:t>
      </w:r>
      <w:bookmarkEnd w:id="58"/>
      <w:bookmarkEnd w:id="59"/>
      <w:bookmarkEnd w:id="60"/>
      <w:r>
        <w:rPr>
          <w:rFonts w:hint="eastAsia" w:ascii="宋体" w:hAnsi="宋体" w:eastAsia="宋体" w:cs="宋体"/>
          <w:color w:val="000000"/>
          <w:sz w:val="24"/>
          <w:szCs w:val="24"/>
          <w:highlight w:val="none"/>
        </w:rPr>
        <w:tab/>
      </w:r>
    </w:p>
    <w:p w14:paraId="5DFF410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 图纸的提供</w:t>
      </w:r>
    </w:p>
    <w:p w14:paraId="1612F74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合同协议书签订后3天内</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BFE029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发包人向承包人提供图纸的数量：</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叁套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A1D370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发包人向承包人提供图纸的内容：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施工图，标准图由承包人自备</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C7FAF5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1.6.4 承包人文件</w:t>
      </w:r>
    </w:p>
    <w:p w14:paraId="0B07C2CC">
      <w:pPr>
        <w:pageBreakBefore w:val="0"/>
        <w:kinsoku/>
        <w:wordWrap/>
        <w:overflowPunct/>
        <w:topLinePunct w:val="0"/>
        <w:bidi w:val="0"/>
        <w:spacing w:line="360" w:lineRule="auto"/>
        <w:ind w:left="17" w:leftChars="6" w:firstLine="463" w:firstLineChars="193"/>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需要由承包人提供的文件，包括：</w:t>
      </w:r>
      <w:r>
        <w:rPr>
          <w:rFonts w:hint="eastAsia" w:ascii="宋体" w:hAnsi="宋体" w:eastAsia="宋体" w:cs="宋体"/>
          <w:color w:val="000000"/>
          <w:sz w:val="24"/>
          <w:szCs w:val="24"/>
          <w:highlight w:val="none"/>
          <w:u w:val="single"/>
        </w:rPr>
        <w:t>施工组织方案、施工进度计划，材料计划。已完工程量报表（含工程变更及签证预算）、承包人购材料清单、劳动力及用款计划等及发包人要求提供的其他资料</w:t>
      </w:r>
      <w:r>
        <w:rPr>
          <w:rFonts w:hint="eastAsia" w:ascii="宋体" w:hAnsi="宋体" w:eastAsia="宋体" w:cs="宋体"/>
          <w:color w:val="000000"/>
          <w:sz w:val="24"/>
          <w:szCs w:val="24"/>
          <w:highlight w:val="none"/>
          <w:u w:val="none"/>
        </w:rPr>
        <w:t>；</w:t>
      </w:r>
    </w:p>
    <w:p w14:paraId="7F384B6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承包人提供的文件的期限为：</w:t>
      </w:r>
      <w:r>
        <w:rPr>
          <w:rFonts w:hint="eastAsia" w:ascii="宋体" w:hAnsi="宋体" w:eastAsia="宋体" w:cs="宋体"/>
          <w:sz w:val="24"/>
          <w:szCs w:val="24"/>
          <w:highlight w:val="none"/>
          <w:u w:val="single"/>
        </w:rPr>
        <w:t>合同签订3日内分别向发包人及监理人提供详细的施工组织方案、施工进度计划及完工时间，进场后7日内提供材料计划。每月25日前分别向发包人及监理人提供下月详细的施工进度计划、已完工程量报表（含工程变更及签证预算）、承包人购材料清单、材料进场计划、劳动力及用款计划等及发包人要求提供的其他资料</w:t>
      </w:r>
      <w:r>
        <w:rPr>
          <w:rFonts w:hint="eastAsia" w:ascii="宋体" w:hAnsi="宋体" w:eastAsia="宋体" w:cs="宋体"/>
          <w:sz w:val="24"/>
          <w:szCs w:val="24"/>
          <w:highlight w:val="none"/>
        </w:rPr>
        <w:t>；</w:t>
      </w:r>
    </w:p>
    <w:p w14:paraId="2520A72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承包人提供的文件的数量为：</w:t>
      </w:r>
      <w:r>
        <w:rPr>
          <w:rFonts w:hint="eastAsia" w:ascii="宋体" w:hAnsi="宋体" w:eastAsia="宋体" w:cs="宋体"/>
          <w:sz w:val="24"/>
          <w:szCs w:val="24"/>
          <w:highlight w:val="none"/>
          <w:u w:val="single"/>
        </w:rPr>
        <w:t>叁套</w:t>
      </w:r>
      <w:r>
        <w:rPr>
          <w:rFonts w:hint="eastAsia" w:ascii="宋体" w:hAnsi="宋体" w:eastAsia="宋体" w:cs="宋体"/>
          <w:sz w:val="24"/>
          <w:szCs w:val="24"/>
          <w:highlight w:val="none"/>
        </w:rPr>
        <w:t>；</w:t>
      </w:r>
    </w:p>
    <w:p w14:paraId="78B66F5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承包人提供的文件的形式为：</w:t>
      </w:r>
      <w:r>
        <w:rPr>
          <w:rFonts w:hint="eastAsia" w:ascii="宋体" w:hAnsi="宋体" w:eastAsia="宋体" w:cs="宋体"/>
          <w:sz w:val="24"/>
          <w:szCs w:val="24"/>
          <w:highlight w:val="none"/>
          <w:u w:val="single"/>
        </w:rPr>
        <w:t xml:space="preserve">书面文件 </w:t>
      </w:r>
      <w:r>
        <w:rPr>
          <w:rFonts w:hint="eastAsia" w:ascii="宋体" w:hAnsi="宋体" w:eastAsia="宋体" w:cs="宋体"/>
          <w:sz w:val="24"/>
          <w:szCs w:val="24"/>
          <w:highlight w:val="none"/>
        </w:rPr>
        <w:t>；</w:t>
      </w:r>
    </w:p>
    <w:p w14:paraId="6EC3718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发包人审批承包人文件的期限：</w:t>
      </w:r>
      <w:r>
        <w:rPr>
          <w:rFonts w:hint="eastAsia" w:ascii="宋体" w:hAnsi="宋体" w:eastAsia="宋体" w:cs="宋体"/>
          <w:sz w:val="24"/>
          <w:szCs w:val="24"/>
          <w:highlight w:val="none"/>
          <w:u w:val="single"/>
        </w:rPr>
        <w:t xml:space="preserve">收到书面文件后7日内 </w:t>
      </w:r>
      <w:r>
        <w:rPr>
          <w:rFonts w:hint="eastAsia" w:ascii="宋体" w:hAnsi="宋体" w:eastAsia="宋体" w:cs="宋体"/>
          <w:sz w:val="24"/>
          <w:szCs w:val="24"/>
          <w:highlight w:val="none"/>
        </w:rPr>
        <w:t>。</w:t>
      </w:r>
    </w:p>
    <w:p w14:paraId="338BE9E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1.6.5 现场图纸准备</w:t>
      </w:r>
    </w:p>
    <w:p w14:paraId="4CE0C398">
      <w:pPr>
        <w:pageBreakBefore w:val="0"/>
        <w:kinsoku/>
        <w:wordWrap/>
        <w:overflowPunct/>
        <w:topLinePunct w:val="0"/>
        <w:bidi w:val="0"/>
        <w:spacing w:line="360" w:lineRule="auto"/>
        <w:ind w:left="7" w:firstLine="468" w:firstLineChars="19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关于现场图纸准备的约定：</w:t>
      </w:r>
      <w:r>
        <w:rPr>
          <w:rFonts w:hint="eastAsia" w:ascii="宋体" w:hAnsi="宋体" w:eastAsia="宋体" w:cs="宋体"/>
          <w:sz w:val="24"/>
          <w:szCs w:val="24"/>
          <w:highlight w:val="none"/>
          <w:u w:val="single"/>
        </w:rPr>
        <w:t>按照通用条款执行</w:t>
      </w:r>
      <w:r>
        <w:rPr>
          <w:rFonts w:hint="eastAsia" w:ascii="宋体" w:hAnsi="宋体" w:eastAsia="宋体" w:cs="宋体"/>
          <w:sz w:val="24"/>
          <w:szCs w:val="24"/>
          <w:highlight w:val="none"/>
        </w:rPr>
        <w:t>。</w:t>
      </w:r>
    </w:p>
    <w:p w14:paraId="4350606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1" w:name="_Toc401"/>
      <w:bookmarkStart w:id="62" w:name="_Toc22665"/>
      <w:bookmarkStart w:id="63" w:name="_Toc25939"/>
      <w:r>
        <w:rPr>
          <w:rFonts w:hint="eastAsia" w:ascii="宋体" w:hAnsi="宋体" w:eastAsia="宋体" w:cs="宋体"/>
          <w:color w:val="000000"/>
          <w:sz w:val="24"/>
          <w:szCs w:val="24"/>
          <w:highlight w:val="none"/>
        </w:rPr>
        <w:t>1.7 联络</w:t>
      </w:r>
      <w:bookmarkEnd w:id="61"/>
      <w:bookmarkEnd w:id="62"/>
      <w:bookmarkEnd w:id="63"/>
    </w:p>
    <w:p w14:paraId="6D627E6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1.7.1发包人和承包人应当在</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lang w:val="en-US" w:eastAsia="zh-CN"/>
        </w:rPr>
        <w:t>14</w:t>
      </w:r>
      <w:r>
        <w:rPr>
          <w:rFonts w:hint="eastAsia" w:ascii="宋体" w:hAnsi="宋体" w:eastAsia="宋体" w:cs="宋体"/>
          <w:sz w:val="24"/>
          <w:szCs w:val="24"/>
          <w:highlight w:val="none"/>
          <w:u w:val="single"/>
        </w:rPr>
        <w:t xml:space="preserve"> </w:t>
      </w:r>
      <w:r>
        <w:rPr>
          <w:rFonts w:hint="eastAsia" w:ascii="宋体" w:hAnsi="宋体" w:eastAsia="宋体" w:cs="宋体"/>
          <w:color w:val="000000"/>
          <w:kern w:val="0"/>
          <w:sz w:val="24"/>
          <w:szCs w:val="24"/>
          <w:highlight w:val="none"/>
        </w:rPr>
        <w:t>天内将与合同有关的通知、批准、证明、证书、指示、指令、要求、请求、同意、意见、确定和决定等书面函件送达对方当事人。</w:t>
      </w:r>
    </w:p>
    <w:p w14:paraId="7C30FC2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1.7.2 发包人接收文件的地点：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工地业主办公室</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none"/>
        </w:rPr>
        <w:t>；</w:t>
      </w:r>
    </w:p>
    <w:p w14:paraId="50073C7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发包人指定的接收人为：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0CE202F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工地承包人项目部</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none"/>
        </w:rPr>
        <w:t>；</w:t>
      </w:r>
    </w:p>
    <w:p w14:paraId="2415382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承包人指定的接收人为：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5E36C24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Cs/>
          <w:kern w:val="0"/>
          <w:sz w:val="24"/>
          <w:szCs w:val="24"/>
          <w:highlight w:val="none"/>
        </w:rPr>
      </w:pPr>
      <w:r>
        <w:rPr>
          <w:rFonts w:hint="eastAsia" w:ascii="宋体" w:hAnsi="宋体" w:eastAsia="宋体" w:cs="宋体"/>
          <w:color w:val="000000"/>
          <w:kern w:val="0"/>
          <w:sz w:val="24"/>
          <w:szCs w:val="24"/>
          <w:highlight w:val="none"/>
        </w:rPr>
        <w:t>监理人接收文件的地点：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工地监理部办公室</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none"/>
        </w:rPr>
        <w:t>；</w:t>
      </w:r>
    </w:p>
    <w:p w14:paraId="60CFC17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监理人指定的接收人为：</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w:t>
      </w:r>
    </w:p>
    <w:p w14:paraId="2D38298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4" w:name="_Toc28646"/>
      <w:bookmarkStart w:id="65" w:name="_Toc19091"/>
      <w:bookmarkStart w:id="66" w:name="_Toc27660"/>
      <w:r>
        <w:rPr>
          <w:rFonts w:hint="eastAsia" w:ascii="宋体" w:hAnsi="宋体" w:eastAsia="宋体" w:cs="宋体"/>
          <w:color w:val="000000"/>
          <w:sz w:val="24"/>
          <w:szCs w:val="24"/>
          <w:highlight w:val="none"/>
        </w:rPr>
        <w:t>1.10 交通运输</w:t>
      </w:r>
      <w:bookmarkEnd w:id="64"/>
      <w:bookmarkEnd w:id="65"/>
      <w:bookmarkEnd w:id="66"/>
    </w:p>
    <w:p w14:paraId="6952CECE">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bookmarkStart w:id="67" w:name="_Toc29790"/>
      <w:bookmarkStart w:id="68" w:name="_Toc32619"/>
      <w:bookmarkStart w:id="69" w:name="_Toc843"/>
      <w:r>
        <w:rPr>
          <w:rFonts w:hint="eastAsia" w:ascii="宋体" w:hAnsi="宋体" w:eastAsia="宋体" w:cs="宋体"/>
          <w:sz w:val="24"/>
          <w:szCs w:val="24"/>
          <w:highlight w:val="none"/>
        </w:rPr>
        <w:t>1</w:t>
      </w:r>
      <w:bookmarkStart w:id="70" w:name="_Toc304295521"/>
      <w:bookmarkStart w:id="71" w:name="_Toc300934943"/>
      <w:bookmarkStart w:id="72" w:name="_Toc312677986"/>
      <w:bookmarkStart w:id="73" w:name="_Toc318581155"/>
      <w:bookmarkStart w:id="74" w:name="_Toc303539100"/>
      <w:r>
        <w:rPr>
          <w:rFonts w:hint="eastAsia" w:ascii="宋体" w:hAnsi="宋体" w:eastAsia="宋体" w:cs="宋体"/>
          <w:sz w:val="24"/>
          <w:szCs w:val="24"/>
          <w:highlight w:val="none"/>
        </w:rPr>
        <w:t>.10.1 出入现场的权利</w:t>
      </w:r>
      <w:bookmarkEnd w:id="67"/>
      <w:bookmarkEnd w:id="68"/>
      <w:bookmarkEnd w:id="69"/>
    </w:p>
    <w:p w14:paraId="56488A01">
      <w:pPr>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关于出入现场的权利的约定：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由承包人统一管理</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70"/>
    <w:bookmarkEnd w:id="71"/>
    <w:bookmarkEnd w:id="72"/>
    <w:bookmarkEnd w:id="73"/>
    <w:bookmarkEnd w:id="74"/>
    <w:p w14:paraId="5E76B6E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bookmarkStart w:id="75" w:name="_Toc21006"/>
      <w:bookmarkStart w:id="76" w:name="_Toc12233"/>
      <w:bookmarkStart w:id="77" w:name="_Toc223"/>
      <w:r>
        <w:rPr>
          <w:rFonts w:hint="eastAsia" w:ascii="宋体" w:hAnsi="宋体" w:eastAsia="宋体" w:cs="宋体"/>
          <w:sz w:val="24"/>
          <w:szCs w:val="24"/>
          <w:highlight w:val="none"/>
        </w:rPr>
        <w:t>1</w:t>
      </w:r>
      <w:bookmarkStart w:id="78" w:name="_Toc318581156"/>
      <w:bookmarkStart w:id="79" w:name="_Toc312677987"/>
      <w:bookmarkStart w:id="80" w:name="_Toc303539101"/>
      <w:bookmarkStart w:id="81" w:name="_Toc300934944"/>
      <w:bookmarkStart w:id="82" w:name="_Toc304295522"/>
      <w:r>
        <w:rPr>
          <w:rFonts w:hint="eastAsia" w:ascii="宋体" w:hAnsi="宋体" w:eastAsia="宋体" w:cs="宋体"/>
          <w:sz w:val="24"/>
          <w:szCs w:val="24"/>
          <w:highlight w:val="none"/>
        </w:rPr>
        <w:t>.10.3 场内交通</w:t>
      </w:r>
      <w:bookmarkEnd w:id="75"/>
      <w:bookmarkEnd w:id="76"/>
      <w:bookmarkEnd w:id="77"/>
    </w:p>
    <w:p w14:paraId="7AF408C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关于场外交通和场内交通的边界的约定：</w:t>
      </w:r>
      <w:r>
        <w:rPr>
          <w:rFonts w:hint="eastAsia" w:ascii="宋体" w:hAnsi="宋体" w:eastAsia="宋体" w:cs="宋体"/>
          <w:color w:val="000000"/>
          <w:sz w:val="24"/>
          <w:szCs w:val="24"/>
          <w:highlight w:val="none"/>
          <w:u w:val="single"/>
        </w:rPr>
        <w:t xml:space="preserve"> 根据现场情况，双方另行协商</w:t>
      </w:r>
      <w:r>
        <w:rPr>
          <w:rFonts w:hint="eastAsia" w:ascii="宋体" w:hAnsi="宋体" w:eastAsia="宋体" w:cs="宋体"/>
          <w:sz w:val="24"/>
          <w:szCs w:val="24"/>
          <w:highlight w:val="none"/>
          <w:u w:val="single"/>
        </w:rPr>
        <w:t>。</w:t>
      </w:r>
    </w:p>
    <w:p w14:paraId="58B52FD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关于发包人向承包人免费提供满足工程施工需要的场内道路和交通设施的约定：</w:t>
      </w:r>
      <w:bookmarkEnd w:id="78"/>
      <w:bookmarkEnd w:id="79"/>
      <w:bookmarkEnd w:id="80"/>
      <w:bookmarkEnd w:id="81"/>
      <w:bookmarkEnd w:id="82"/>
      <w:r>
        <w:rPr>
          <w:rFonts w:hint="eastAsia" w:ascii="宋体" w:hAnsi="宋体" w:eastAsia="宋体" w:cs="宋体"/>
          <w:sz w:val="24"/>
          <w:szCs w:val="24"/>
          <w:highlight w:val="none"/>
          <w:u w:val="single"/>
        </w:rPr>
        <w:t>现状。</w:t>
      </w:r>
      <w:bookmarkStart w:id="83" w:name="_Toc318581157"/>
    </w:p>
    <w:p w14:paraId="4E957B9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1.10.4超大件和超重件的运输</w:t>
      </w:r>
    </w:p>
    <w:p w14:paraId="1A4887E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运输超大件或超重件所需的道路和桥梁临时加固改造费用和其他有关费用由</w:t>
      </w:r>
      <w:r>
        <w:rPr>
          <w:rFonts w:hint="eastAsia" w:ascii="宋体" w:hAnsi="宋体" w:eastAsia="宋体" w:cs="宋体"/>
          <w:sz w:val="24"/>
          <w:szCs w:val="24"/>
          <w:highlight w:val="none"/>
          <w:u w:val="single"/>
        </w:rPr>
        <w:t>承包人</w:t>
      </w:r>
      <w:r>
        <w:rPr>
          <w:rFonts w:hint="eastAsia" w:ascii="宋体" w:hAnsi="宋体" w:eastAsia="宋体" w:cs="宋体"/>
          <w:sz w:val="24"/>
          <w:szCs w:val="24"/>
          <w:highlight w:val="none"/>
        </w:rPr>
        <w:t>承担。</w:t>
      </w:r>
    </w:p>
    <w:bookmarkEnd w:id="83"/>
    <w:p w14:paraId="089AE1F7">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84" w:name="_Toc8881"/>
      <w:bookmarkStart w:id="85" w:name="_Toc10269"/>
      <w:bookmarkStart w:id="86" w:name="_Toc12451"/>
      <w:r>
        <w:rPr>
          <w:rFonts w:hint="eastAsia" w:ascii="宋体" w:hAnsi="宋体" w:eastAsia="宋体" w:cs="宋体"/>
          <w:color w:val="000000"/>
          <w:sz w:val="24"/>
          <w:szCs w:val="24"/>
          <w:highlight w:val="none"/>
        </w:rPr>
        <w:t>1.11 知识产权</w:t>
      </w:r>
      <w:bookmarkEnd w:id="84"/>
      <w:bookmarkEnd w:id="85"/>
      <w:bookmarkEnd w:id="86"/>
    </w:p>
    <w:p w14:paraId="2E6337E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发包人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183684B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关于发包人提供的上述文件的使用限制的要求：</w:t>
      </w:r>
      <w:r>
        <w:rPr>
          <w:rFonts w:hint="eastAsia" w:ascii="宋体" w:hAnsi="宋体" w:eastAsia="宋体" w:cs="宋体"/>
          <w:color w:val="000000"/>
          <w:sz w:val="24"/>
          <w:szCs w:val="24"/>
          <w:highlight w:val="none"/>
          <w:u w:val="single"/>
        </w:rPr>
        <w:t>承包人对上述文件复制应经发包人同意并记录，按受控文件要求进行管理，不得外传、外借</w:t>
      </w:r>
      <w:r>
        <w:rPr>
          <w:rFonts w:hint="eastAsia" w:ascii="宋体" w:hAnsi="宋体" w:eastAsia="宋体" w:cs="宋体"/>
          <w:color w:val="000000"/>
          <w:sz w:val="24"/>
          <w:szCs w:val="24"/>
          <w:highlight w:val="none"/>
          <w:u w:val="none"/>
        </w:rPr>
        <w:t>。</w:t>
      </w:r>
    </w:p>
    <w:p w14:paraId="7736E40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bookmarkStart w:id="87" w:name="_Toc17194"/>
      <w:bookmarkStart w:id="88" w:name="_Toc19680"/>
      <w:bookmarkStart w:id="89" w:name="_Toc13220"/>
      <w:r>
        <w:rPr>
          <w:rFonts w:hint="eastAsia" w:ascii="宋体" w:hAnsi="宋体" w:eastAsia="宋体" w:cs="宋体"/>
          <w:color w:val="000000"/>
          <w:sz w:val="24"/>
          <w:szCs w:val="24"/>
          <w:highlight w:val="none"/>
        </w:rPr>
        <w:t>1.11.2 关于承包人为实施工程所编制文件的著作权的归属：</w:t>
      </w:r>
      <w:r>
        <w:rPr>
          <w:rFonts w:hint="eastAsia" w:ascii="宋体" w:hAnsi="宋体" w:eastAsia="宋体" w:cs="宋体"/>
          <w:sz w:val="24"/>
          <w:szCs w:val="24"/>
          <w:highlight w:val="none"/>
          <w:u w:val="single"/>
        </w:rPr>
        <w:t>发包人</w:t>
      </w:r>
      <w:r>
        <w:rPr>
          <w:rFonts w:hint="eastAsia" w:ascii="宋体" w:hAnsi="宋体" w:eastAsia="宋体" w:cs="宋体"/>
          <w:sz w:val="24"/>
          <w:szCs w:val="24"/>
          <w:highlight w:val="none"/>
          <w:u w:val="none"/>
        </w:rPr>
        <w:t>。</w:t>
      </w:r>
      <w:bookmarkEnd w:id="87"/>
      <w:bookmarkEnd w:id="88"/>
      <w:bookmarkEnd w:id="89"/>
    </w:p>
    <w:p w14:paraId="5C96A95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1.11.3 关于承包人提供的上述文件的使用限制的要求：</w:t>
      </w:r>
      <w:r>
        <w:rPr>
          <w:rFonts w:hint="eastAsia" w:ascii="宋体" w:hAnsi="宋体" w:eastAsia="宋体" w:cs="宋体"/>
          <w:color w:val="000000"/>
          <w:sz w:val="24"/>
          <w:szCs w:val="24"/>
          <w:highlight w:val="none"/>
          <w:u w:val="single"/>
        </w:rPr>
        <w:t>按照通用条款执行</w:t>
      </w:r>
      <w:r>
        <w:rPr>
          <w:rFonts w:hint="eastAsia" w:ascii="宋体" w:hAnsi="宋体" w:eastAsia="宋体" w:cs="宋体"/>
          <w:sz w:val="24"/>
          <w:szCs w:val="24"/>
          <w:highlight w:val="none"/>
          <w:u w:val="none"/>
        </w:rPr>
        <w:t>。</w:t>
      </w:r>
    </w:p>
    <w:p w14:paraId="7485291A">
      <w:pPr>
        <w:pageBreakBefore w:val="0"/>
        <w:kinsoku/>
        <w:wordWrap/>
        <w:overflowPunct/>
        <w:topLinePunct w:val="0"/>
        <w:bidi w:val="0"/>
        <w:spacing w:line="360" w:lineRule="auto"/>
        <w:ind w:left="291" w:leftChars="104" w:firstLine="240" w:firstLineChars="100"/>
        <w:textAlignment w:val="auto"/>
        <w:outlineLvl w:val="9"/>
        <w:rPr>
          <w:rFonts w:hint="eastAsia" w:ascii="宋体" w:hAnsi="宋体" w:eastAsia="宋体" w:cs="宋体"/>
          <w:color w:val="000000"/>
          <w:kern w:val="0"/>
          <w:sz w:val="24"/>
          <w:szCs w:val="24"/>
          <w:highlight w:val="none"/>
        </w:rPr>
      </w:pPr>
      <w:bookmarkStart w:id="90" w:name="_Toc24529"/>
      <w:bookmarkStart w:id="91" w:name="_Toc8890"/>
      <w:bookmarkStart w:id="92" w:name="_Toc308"/>
      <w:r>
        <w:rPr>
          <w:rFonts w:hint="eastAsia" w:ascii="宋体" w:hAnsi="宋体" w:eastAsia="宋体" w:cs="宋体"/>
          <w:color w:val="000000"/>
          <w:sz w:val="24"/>
          <w:szCs w:val="24"/>
          <w:highlight w:val="none"/>
        </w:rPr>
        <w:t>1.11.4 承包人在施工过程中所采用的专利、专有技术、技术秘密的使用费的承担方式：</w:t>
      </w:r>
      <w:r>
        <w:rPr>
          <w:rFonts w:hint="eastAsia" w:ascii="宋体" w:hAnsi="宋体" w:eastAsia="宋体" w:cs="宋体"/>
          <w:color w:val="000000"/>
          <w:sz w:val="24"/>
          <w:szCs w:val="24"/>
          <w:highlight w:val="none"/>
          <w:u w:val="single"/>
        </w:rPr>
        <w:t>按照通用条款执行</w:t>
      </w:r>
      <w:r>
        <w:rPr>
          <w:rFonts w:hint="eastAsia" w:ascii="宋体" w:hAnsi="宋体" w:eastAsia="宋体" w:cs="宋体"/>
          <w:kern w:val="0"/>
          <w:sz w:val="24"/>
          <w:szCs w:val="24"/>
          <w:highlight w:val="none"/>
        </w:rPr>
        <w:t>。</w:t>
      </w:r>
      <w:bookmarkEnd w:id="90"/>
      <w:bookmarkEnd w:id="91"/>
      <w:bookmarkEnd w:id="92"/>
    </w:p>
    <w:p w14:paraId="1BB1C6D6">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1.13工程量清单错误的修正</w:t>
      </w:r>
    </w:p>
    <w:p w14:paraId="55381673">
      <w:pPr>
        <w:pageBreakBefore w:val="0"/>
        <w:widowControl/>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出现工程量清单错误时，是否调整合同价格：</w:t>
      </w:r>
      <w:r>
        <w:rPr>
          <w:rFonts w:hint="eastAsia" w:ascii="宋体" w:hAnsi="宋体" w:eastAsia="宋体" w:cs="宋体"/>
          <w:sz w:val="24"/>
          <w:szCs w:val="24"/>
          <w:highlight w:val="none"/>
          <w:u w:val="single"/>
        </w:rPr>
        <w:t>工程量按约定调整，综合单价不调整</w:t>
      </w:r>
      <w:r>
        <w:rPr>
          <w:rFonts w:hint="eastAsia" w:ascii="宋体" w:hAnsi="宋体" w:eastAsia="宋体" w:cs="宋体"/>
          <w:sz w:val="24"/>
          <w:szCs w:val="24"/>
          <w:highlight w:val="none"/>
        </w:rPr>
        <w:t>。</w:t>
      </w:r>
    </w:p>
    <w:p w14:paraId="5D3B6CED">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允许调整合同价格的工程量偏差范围：</w:t>
      </w:r>
      <w:r>
        <w:rPr>
          <w:rFonts w:hint="eastAsia" w:ascii="宋体" w:hAnsi="宋体" w:eastAsia="宋体" w:cs="宋体"/>
          <w:sz w:val="24"/>
          <w:szCs w:val="24"/>
          <w:highlight w:val="none"/>
          <w:u w:val="single"/>
        </w:rPr>
        <w:t>工程量出现偏差，综合单价不予调整</w:t>
      </w:r>
      <w:r>
        <w:rPr>
          <w:rFonts w:hint="eastAsia" w:ascii="宋体" w:hAnsi="宋体" w:eastAsia="宋体" w:cs="宋体"/>
          <w:kern w:val="0"/>
          <w:sz w:val="24"/>
          <w:szCs w:val="24"/>
          <w:highlight w:val="none"/>
        </w:rPr>
        <w:t>。</w:t>
      </w:r>
    </w:p>
    <w:p w14:paraId="33B14813">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93" w:name="_Toc351203634"/>
      <w:r>
        <w:rPr>
          <w:rFonts w:hint="eastAsia" w:ascii="宋体" w:hAnsi="宋体" w:eastAsia="宋体" w:cs="宋体"/>
          <w:b w:val="0"/>
          <w:color w:val="000000"/>
          <w:sz w:val="24"/>
          <w:szCs w:val="24"/>
          <w:highlight w:val="none"/>
        </w:rPr>
        <w:t>2</w:t>
      </w:r>
      <w:bookmarkStart w:id="94" w:name="_Toc292559362"/>
      <w:bookmarkStart w:id="95" w:name="_Toc296890985"/>
      <w:bookmarkStart w:id="96" w:name="_Toc292559867"/>
      <w:bookmarkStart w:id="97" w:name="_Toc296503157"/>
      <w:bookmarkStart w:id="98" w:name="_Toc296346658"/>
      <w:bookmarkStart w:id="99" w:name="_Toc297120457"/>
      <w:bookmarkStart w:id="100" w:name="_Toc297048343"/>
      <w:bookmarkStart w:id="101" w:name="_Toc296944496"/>
      <w:bookmarkStart w:id="102" w:name="_Toc296891197"/>
      <w:bookmarkStart w:id="103" w:name="_Toc296347156"/>
      <w:r>
        <w:rPr>
          <w:rFonts w:hint="eastAsia" w:ascii="宋体" w:hAnsi="宋体" w:eastAsia="宋体" w:cs="宋体"/>
          <w:b w:val="0"/>
          <w:color w:val="000000"/>
          <w:sz w:val="24"/>
          <w:szCs w:val="24"/>
          <w:highlight w:val="none"/>
        </w:rPr>
        <w:t>. 发包人</w:t>
      </w:r>
      <w:bookmarkEnd w:id="93"/>
    </w:p>
    <w:bookmarkEnd w:id="94"/>
    <w:bookmarkEnd w:id="95"/>
    <w:bookmarkEnd w:id="96"/>
    <w:bookmarkEnd w:id="97"/>
    <w:bookmarkEnd w:id="98"/>
    <w:bookmarkEnd w:id="99"/>
    <w:bookmarkEnd w:id="100"/>
    <w:bookmarkEnd w:id="101"/>
    <w:bookmarkEnd w:id="102"/>
    <w:bookmarkEnd w:id="103"/>
    <w:p w14:paraId="49B4D435">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104" w:name="_Toc9445"/>
      <w:bookmarkStart w:id="105" w:name="_Toc28990"/>
      <w:bookmarkStart w:id="106" w:name="_Toc4825"/>
      <w:r>
        <w:rPr>
          <w:rFonts w:hint="eastAsia" w:ascii="宋体" w:hAnsi="宋体" w:eastAsia="宋体" w:cs="宋体"/>
          <w:color w:val="000000"/>
          <w:sz w:val="24"/>
          <w:szCs w:val="24"/>
          <w:highlight w:val="none"/>
        </w:rPr>
        <w:t>2.2 发包人代表</w:t>
      </w:r>
      <w:bookmarkEnd w:id="104"/>
      <w:bookmarkEnd w:id="105"/>
      <w:bookmarkEnd w:id="106"/>
    </w:p>
    <w:p w14:paraId="249D523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发包人代表：</w:t>
      </w:r>
    </w:p>
    <w:p w14:paraId="01AD0B6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05F2AEB">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D115A6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4116CD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6B1924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D0EE8E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1BF5C2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发包人对发包人代表的授权范围如下：</w:t>
      </w:r>
      <w:r>
        <w:rPr>
          <w:rFonts w:hint="eastAsia" w:ascii="宋体" w:hAnsi="宋体" w:eastAsia="宋体" w:cs="宋体"/>
          <w:sz w:val="24"/>
          <w:szCs w:val="24"/>
          <w:highlight w:val="none"/>
          <w:u w:val="single"/>
        </w:rPr>
        <w:t>对工程进行全面监督、审批监理工程师提交的报告、协调外部关系以保证工程顺利进行；检查、督促施工单位、监理单位的现场工作；组织协调施工现场与工程相关部门的工作，业主指令的下达、相关问题的处理</w:t>
      </w:r>
      <w:r>
        <w:rPr>
          <w:rFonts w:hint="eastAsia" w:ascii="宋体" w:hAnsi="宋体" w:eastAsia="宋体" w:cs="宋体"/>
          <w:sz w:val="24"/>
          <w:szCs w:val="24"/>
          <w:highlight w:val="none"/>
          <w:u w:val="none"/>
        </w:rPr>
        <w:t>。</w:t>
      </w:r>
    </w:p>
    <w:p w14:paraId="7DBBC82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107" w:name="_Toc9297"/>
      <w:bookmarkStart w:id="108" w:name="_Toc13417"/>
      <w:bookmarkStart w:id="109" w:name="_Toc24773"/>
      <w:r>
        <w:rPr>
          <w:rFonts w:hint="eastAsia" w:ascii="宋体" w:hAnsi="宋体" w:eastAsia="宋体" w:cs="宋体"/>
          <w:color w:val="000000"/>
          <w:sz w:val="24"/>
          <w:szCs w:val="24"/>
          <w:highlight w:val="none"/>
        </w:rPr>
        <w:t>2.4 施工现场、施工条件和基础资料的提供</w:t>
      </w:r>
      <w:bookmarkEnd w:id="107"/>
      <w:bookmarkEnd w:id="108"/>
      <w:bookmarkEnd w:id="109"/>
    </w:p>
    <w:p w14:paraId="24DC22E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2.4.1 提供施工现场</w:t>
      </w:r>
    </w:p>
    <w:p w14:paraId="06716B4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关于发包人移交施工现场的期限要求：</w:t>
      </w:r>
      <w:r>
        <w:rPr>
          <w:rFonts w:hint="eastAsia" w:ascii="宋体" w:hAnsi="宋体" w:eastAsia="宋体" w:cs="宋体"/>
          <w:color w:val="000000"/>
          <w:sz w:val="24"/>
          <w:szCs w:val="24"/>
          <w:highlight w:val="none"/>
          <w:u w:val="single"/>
        </w:rPr>
        <w:t xml:space="preserve"> 以施工场地现状为准，开工前7天 </w:t>
      </w:r>
      <w:r>
        <w:rPr>
          <w:rFonts w:hint="eastAsia" w:ascii="宋体" w:hAnsi="宋体" w:eastAsia="宋体" w:cs="宋体"/>
          <w:sz w:val="24"/>
          <w:szCs w:val="24"/>
          <w:highlight w:val="none"/>
        </w:rPr>
        <w:t>。</w:t>
      </w:r>
    </w:p>
    <w:p w14:paraId="235A479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2.4.2 提供施工条件</w:t>
      </w:r>
    </w:p>
    <w:p w14:paraId="3E56DD3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关于发包人应负责提供施工所需要的条件，包括：</w:t>
      </w:r>
      <w:r>
        <w:rPr>
          <w:rFonts w:hint="eastAsia" w:ascii="宋体" w:hAnsi="宋体" w:eastAsia="宋体" w:cs="宋体"/>
          <w:sz w:val="24"/>
          <w:szCs w:val="24"/>
          <w:highlight w:val="none"/>
          <w:u w:val="single"/>
        </w:rPr>
        <w:t xml:space="preserve"> 执行《通用条款》，承包人在发包人现场指定地点，将水电引至施工现场，并配备校验合格的水电表，水电线路由承包人安装，承包人所用水、电费按表计算，在工程竣工结算时一并扣除。通讯线路和设备由施工单位自行解决并承担其费用</w:t>
      </w:r>
      <w:r>
        <w:rPr>
          <w:rFonts w:hint="eastAsia" w:ascii="宋体" w:hAnsi="宋体" w:eastAsia="宋体" w:cs="宋体"/>
          <w:sz w:val="24"/>
          <w:szCs w:val="24"/>
          <w:highlight w:val="none"/>
          <w:u w:val="none"/>
        </w:rPr>
        <w:t>。</w:t>
      </w:r>
    </w:p>
    <w:p w14:paraId="2D124C36">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110" w:name="_Toc6848"/>
      <w:bookmarkStart w:id="111" w:name="_Toc16902"/>
      <w:bookmarkStart w:id="112" w:name="_Toc22745"/>
      <w:r>
        <w:rPr>
          <w:rFonts w:hint="eastAsia" w:ascii="宋体" w:hAnsi="宋体" w:eastAsia="宋体" w:cs="宋体"/>
          <w:color w:val="000000"/>
          <w:sz w:val="24"/>
          <w:szCs w:val="24"/>
          <w:highlight w:val="none"/>
        </w:rPr>
        <w:t>2.5 资金来源证明及支付担保</w:t>
      </w:r>
      <w:bookmarkEnd w:id="110"/>
      <w:bookmarkEnd w:id="111"/>
      <w:bookmarkEnd w:id="112"/>
    </w:p>
    <w:p w14:paraId="44BB4AD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发包人提供资金来源证明的期限要求：</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37CC375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发包人是否提供支付担保：</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不提供</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342EC4CB">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发包人提供支付担保的形式：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0AF4F856">
      <w:pPr>
        <w:pageBreakBefore w:val="0"/>
        <w:kinsoku/>
        <w:wordWrap/>
        <w:overflowPunct/>
        <w:topLinePunct w:val="0"/>
        <w:bidi w:val="0"/>
        <w:spacing w:before="120" w:after="120" w:line="360" w:lineRule="auto"/>
        <w:ind w:firstLine="480" w:firstLineChars="200"/>
        <w:textAlignment w:val="auto"/>
        <w:outlineLvl w:val="9"/>
        <w:rPr>
          <w:rFonts w:hint="eastAsia" w:ascii="宋体" w:hAnsi="宋体" w:eastAsia="宋体" w:cs="宋体"/>
          <w:b w:val="0"/>
          <w:color w:val="000000"/>
          <w:sz w:val="24"/>
          <w:szCs w:val="24"/>
          <w:highlight w:val="none"/>
        </w:rPr>
      </w:pPr>
      <w:bookmarkStart w:id="113" w:name="_Toc351203635"/>
      <w:r>
        <w:rPr>
          <w:rFonts w:hint="eastAsia" w:ascii="宋体" w:hAnsi="宋体" w:eastAsia="宋体" w:cs="宋体"/>
          <w:b w:val="0"/>
          <w:color w:val="000000"/>
          <w:sz w:val="24"/>
          <w:szCs w:val="24"/>
          <w:highlight w:val="none"/>
        </w:rPr>
        <w:t>3</w:t>
      </w:r>
      <w:bookmarkStart w:id="114" w:name="_Toc292559363"/>
      <w:bookmarkStart w:id="115" w:name="_Toc296891198"/>
      <w:bookmarkStart w:id="116" w:name="_Toc297120458"/>
      <w:bookmarkStart w:id="117" w:name="_Toc296503158"/>
      <w:bookmarkStart w:id="118" w:name="_Toc297048344"/>
      <w:bookmarkStart w:id="119" w:name="_Toc296944497"/>
      <w:bookmarkStart w:id="120" w:name="_Toc292559868"/>
      <w:bookmarkStart w:id="121" w:name="_Toc296347157"/>
      <w:bookmarkStart w:id="122" w:name="_Toc296890986"/>
      <w:bookmarkStart w:id="123" w:name="_Toc296346659"/>
      <w:r>
        <w:rPr>
          <w:rFonts w:hint="eastAsia" w:ascii="宋体" w:hAnsi="宋体" w:eastAsia="宋体" w:cs="宋体"/>
          <w:b w:val="0"/>
          <w:color w:val="000000"/>
          <w:sz w:val="24"/>
          <w:szCs w:val="24"/>
          <w:highlight w:val="none"/>
        </w:rPr>
        <w:t>. 承包人</w:t>
      </w:r>
      <w:bookmarkEnd w:id="113"/>
    </w:p>
    <w:bookmarkEnd w:id="114"/>
    <w:bookmarkEnd w:id="115"/>
    <w:bookmarkEnd w:id="116"/>
    <w:bookmarkEnd w:id="117"/>
    <w:bookmarkEnd w:id="118"/>
    <w:bookmarkEnd w:id="119"/>
    <w:bookmarkEnd w:id="120"/>
    <w:bookmarkEnd w:id="121"/>
    <w:bookmarkEnd w:id="122"/>
    <w:bookmarkEnd w:id="123"/>
    <w:p w14:paraId="0C46D2C9">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3.1 承包人的一般义务</w:t>
      </w:r>
    </w:p>
    <w:p w14:paraId="130F249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（9）</w:t>
      </w:r>
      <w:r>
        <w:rPr>
          <w:rFonts w:hint="eastAsia" w:ascii="宋体" w:hAnsi="宋体" w:eastAsia="宋体" w:cs="宋体"/>
          <w:color w:val="000000"/>
          <w:sz w:val="24"/>
          <w:szCs w:val="24"/>
          <w:highlight w:val="none"/>
        </w:rPr>
        <w:t>承包人提交的竣工资料的内容：</w:t>
      </w:r>
      <w:r>
        <w:rPr>
          <w:rFonts w:hint="eastAsia" w:ascii="宋体" w:hAnsi="宋体" w:eastAsia="宋体" w:cs="宋体"/>
          <w:sz w:val="24"/>
          <w:szCs w:val="24"/>
          <w:highlight w:val="none"/>
          <w:u w:val="single"/>
        </w:rPr>
        <w:t>竣工验收资料、竣工图、完整的竣工结算资料和竣工结算书</w:t>
      </w:r>
      <w:r>
        <w:rPr>
          <w:rFonts w:hint="eastAsia" w:ascii="宋体" w:hAnsi="宋体" w:eastAsia="宋体" w:cs="宋体"/>
          <w:sz w:val="24"/>
          <w:szCs w:val="24"/>
          <w:highlight w:val="none"/>
          <w:u w:val="none"/>
        </w:rPr>
        <w:t>。</w:t>
      </w:r>
    </w:p>
    <w:p w14:paraId="733B8AC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承包人需要提交的竣工资料套数：</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叁套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7FB03AD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承包人提交的竣工资料的费用承担：</w:t>
      </w:r>
      <w:r>
        <w:rPr>
          <w:rFonts w:hint="eastAsia" w:ascii="宋体" w:hAnsi="宋体" w:eastAsia="宋体" w:cs="宋体"/>
          <w:sz w:val="24"/>
          <w:szCs w:val="24"/>
          <w:highlight w:val="none"/>
          <w:u w:val="single"/>
        </w:rPr>
        <w:t>由承包人承担</w:t>
      </w:r>
      <w:r>
        <w:rPr>
          <w:rFonts w:hint="eastAsia" w:ascii="宋体" w:hAnsi="宋体" w:eastAsia="宋体" w:cs="宋体"/>
          <w:sz w:val="24"/>
          <w:szCs w:val="24"/>
          <w:highlight w:val="none"/>
        </w:rPr>
        <w:t>。</w:t>
      </w:r>
    </w:p>
    <w:p w14:paraId="35AA916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承包人提交的竣工资料移交时间：</w:t>
      </w:r>
      <w:r>
        <w:rPr>
          <w:rFonts w:hint="eastAsia" w:ascii="宋体" w:hAnsi="宋体" w:eastAsia="宋体" w:cs="宋体"/>
          <w:sz w:val="24"/>
          <w:szCs w:val="24"/>
          <w:highlight w:val="none"/>
          <w:u w:val="single"/>
        </w:rPr>
        <w:t>工程竣工验收合格后一个月内提供符合城建档案馆和行政质检监督部门要求的叁套完整的竣工验收资料、竣工图、完整的竣工结算资料和竣工结算书等其他资料。当报送的资料不符合相关主管部门要求而重新报送或补送资料的，其资料报送有效时间为承包人最后一次报送时间。承包人提供的竣工资料及竣工图拖延将从承包人工程款中扣除，造成发包人、监理人管理费用的增加，应由承包人承担。发包人保留进一步向承包人索赔补偿损失不足部分的权利</w:t>
      </w:r>
      <w:r>
        <w:rPr>
          <w:rFonts w:hint="eastAsia" w:ascii="宋体" w:hAnsi="宋体" w:eastAsia="宋体" w:cs="宋体"/>
          <w:sz w:val="24"/>
          <w:szCs w:val="24"/>
          <w:highlight w:val="none"/>
          <w:u w:val="none"/>
        </w:rPr>
        <w:t>。</w:t>
      </w:r>
    </w:p>
    <w:p w14:paraId="1B10C8A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承包人提交的竣工资料形式要求：</w:t>
      </w:r>
      <w:r>
        <w:rPr>
          <w:rFonts w:hint="eastAsia" w:ascii="宋体" w:hAnsi="宋体" w:eastAsia="宋体" w:cs="宋体"/>
          <w:sz w:val="24"/>
          <w:szCs w:val="24"/>
          <w:highlight w:val="none"/>
          <w:u w:val="single"/>
        </w:rPr>
        <w:t xml:space="preserve">书面  </w:t>
      </w:r>
      <w:r>
        <w:rPr>
          <w:rFonts w:hint="eastAsia" w:ascii="宋体" w:hAnsi="宋体" w:eastAsia="宋体" w:cs="宋体"/>
          <w:sz w:val="24"/>
          <w:szCs w:val="24"/>
          <w:highlight w:val="none"/>
        </w:rPr>
        <w:t>。</w:t>
      </w:r>
    </w:p>
    <w:p w14:paraId="5804118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（10）承包人应履行的其他义务：</w:t>
      </w:r>
      <w:r>
        <w:rPr>
          <w:rFonts w:hint="eastAsia" w:ascii="宋体" w:hAnsi="宋体" w:eastAsia="宋体" w:cs="宋体"/>
          <w:sz w:val="24"/>
          <w:szCs w:val="24"/>
          <w:highlight w:val="none"/>
          <w:u w:val="single"/>
        </w:rPr>
        <w:t>做好邻近建筑物、道路、广场、绿化、地下管线的保护工作，其费用由承包人在投标报价中自行考虑。因承包人的责任造成的财产和人身损失，由承包人承担费用</w:t>
      </w:r>
      <w:r>
        <w:rPr>
          <w:rFonts w:hint="eastAsia" w:ascii="宋体" w:hAnsi="宋体" w:eastAsia="宋体" w:cs="宋体"/>
          <w:sz w:val="24"/>
          <w:szCs w:val="24"/>
          <w:highlight w:val="none"/>
          <w:u w:val="none"/>
        </w:rPr>
        <w:t>。</w:t>
      </w:r>
    </w:p>
    <w:p w14:paraId="2B9BA9A6">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 项目负责人</w:t>
      </w:r>
    </w:p>
    <w:p w14:paraId="4797739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 xml:space="preserve">3.2.1 </w:t>
      </w:r>
      <w:r>
        <w:rPr>
          <w:rFonts w:hint="eastAsia" w:ascii="宋体" w:hAnsi="宋体" w:eastAsia="宋体" w:cs="宋体"/>
          <w:color w:val="000000"/>
          <w:sz w:val="24"/>
          <w:szCs w:val="24"/>
          <w:highlight w:val="none"/>
        </w:rPr>
        <w:t>项目负责人：</w:t>
      </w:r>
    </w:p>
    <w:p w14:paraId="7954A79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9C8B7ED">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6151C5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项目负责人资格等级：</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56B4DC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项目负责人资格证书号：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BCB3A5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534F88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1C2627E">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5DD1B2E">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承包人对项目负责人的授权范围如下：</w:t>
      </w:r>
      <w:r>
        <w:rPr>
          <w:rFonts w:hint="eastAsia" w:ascii="宋体" w:hAnsi="宋体" w:eastAsia="宋体" w:cs="宋体"/>
          <w:color w:val="000000"/>
          <w:sz w:val="24"/>
          <w:szCs w:val="24"/>
          <w:highlight w:val="none"/>
          <w:u w:val="single"/>
        </w:rPr>
        <w:t>负责该项目的项目班组的组建、项目的质量、进度、安全的整体管理，施工现场的内外部协调、内外部的签证等事宜</w:t>
      </w:r>
      <w:r>
        <w:rPr>
          <w:rFonts w:hint="eastAsia" w:ascii="宋体" w:hAnsi="宋体" w:eastAsia="宋体" w:cs="宋体"/>
          <w:color w:val="000000"/>
          <w:sz w:val="24"/>
          <w:szCs w:val="24"/>
          <w:highlight w:val="none"/>
          <w:u w:val="none"/>
        </w:rPr>
        <w:t>。</w:t>
      </w:r>
    </w:p>
    <w:p w14:paraId="6B682E7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关于项目负责人每月在施工现场的时间要求：</w:t>
      </w:r>
      <w:r>
        <w:rPr>
          <w:rFonts w:hint="eastAsia" w:ascii="宋体" w:hAnsi="宋体" w:eastAsia="宋体" w:cs="宋体"/>
          <w:color w:val="000000"/>
          <w:kern w:val="0"/>
          <w:sz w:val="24"/>
          <w:szCs w:val="24"/>
          <w:highlight w:val="none"/>
          <w:u w:val="single"/>
        </w:rPr>
        <w:t>每周不少于5天，且每月不少于22天，国家法定工作日期间不在现场需事先通知监理人，经发包人书面同意</w:t>
      </w:r>
      <w:r>
        <w:rPr>
          <w:rFonts w:hint="eastAsia" w:ascii="宋体" w:hAnsi="宋体" w:eastAsia="宋体" w:cs="宋体"/>
          <w:color w:val="000000"/>
          <w:kern w:val="0"/>
          <w:sz w:val="24"/>
          <w:szCs w:val="24"/>
          <w:highlight w:val="none"/>
          <w:u w:val="none"/>
        </w:rPr>
        <w:t>。</w:t>
      </w:r>
    </w:p>
    <w:p w14:paraId="5915F86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承包人未提交劳动合同，以及没有为项目负责人缴纳社会保险证明的违约责任：</w:t>
      </w:r>
      <w:r>
        <w:rPr>
          <w:rFonts w:hint="eastAsia" w:ascii="宋体" w:hAnsi="宋体" w:eastAsia="宋体" w:cs="宋体"/>
          <w:sz w:val="24"/>
          <w:szCs w:val="24"/>
          <w:highlight w:val="none"/>
          <w:u w:val="single"/>
        </w:rPr>
        <w:t>由承包人承担</w:t>
      </w:r>
      <w:r>
        <w:rPr>
          <w:rFonts w:hint="eastAsia" w:ascii="宋体" w:hAnsi="宋体" w:eastAsia="宋体" w:cs="宋体"/>
          <w:sz w:val="24"/>
          <w:szCs w:val="24"/>
          <w:highlight w:val="none"/>
          <w:u w:val="none"/>
        </w:rPr>
        <w:t>。</w:t>
      </w:r>
    </w:p>
    <w:p w14:paraId="5CFF3980">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项目负责人未经批准，擅自离开施工现场的违约责任：</w:t>
      </w:r>
      <w:r>
        <w:rPr>
          <w:rFonts w:hint="eastAsia" w:ascii="宋体" w:hAnsi="宋体" w:eastAsia="宋体" w:cs="宋体"/>
          <w:sz w:val="24"/>
          <w:szCs w:val="24"/>
          <w:highlight w:val="none"/>
          <w:u w:val="single"/>
        </w:rPr>
        <w:t>发包人每发现一次项目负责人擅自离开施工现场的，承包人向发包人支付违约金2000元，累计发现五次项目负责人擅自离开施工现场，视为承包人擅自更换项目负责人</w:t>
      </w:r>
      <w:r>
        <w:rPr>
          <w:rFonts w:hint="eastAsia" w:ascii="宋体" w:hAnsi="宋体" w:eastAsia="宋体" w:cs="宋体"/>
          <w:sz w:val="24"/>
          <w:szCs w:val="24"/>
          <w:highlight w:val="none"/>
          <w:u w:val="none"/>
        </w:rPr>
        <w:t>；</w:t>
      </w:r>
    </w:p>
    <w:p w14:paraId="578A7BC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3.2.3 承包人擅自更换项目负责人的违约责任：</w:t>
      </w:r>
      <w:r>
        <w:rPr>
          <w:rFonts w:hint="eastAsia" w:ascii="宋体" w:hAnsi="宋体" w:eastAsia="宋体" w:cs="宋体"/>
          <w:sz w:val="24"/>
          <w:szCs w:val="24"/>
          <w:highlight w:val="none"/>
          <w:u w:val="single"/>
        </w:rPr>
        <w:t>视为承包人违约，罚款10000元，并有权解除合同并责令承包人退场，由此产生的一切损失及后果由承包人承担</w:t>
      </w:r>
      <w:r>
        <w:rPr>
          <w:rFonts w:hint="eastAsia" w:ascii="宋体" w:hAnsi="宋体" w:eastAsia="宋体" w:cs="宋体"/>
          <w:sz w:val="24"/>
          <w:szCs w:val="24"/>
          <w:highlight w:val="none"/>
          <w:u w:val="none"/>
        </w:rPr>
        <w:t>。</w:t>
      </w:r>
    </w:p>
    <w:p w14:paraId="7EC9183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u w:val="single"/>
        </w:rPr>
      </w:pPr>
      <w:bookmarkStart w:id="124" w:name="_Toc31950"/>
      <w:bookmarkStart w:id="125" w:name="_Toc21762"/>
      <w:r>
        <w:rPr>
          <w:rFonts w:hint="eastAsia" w:ascii="宋体" w:hAnsi="宋体" w:eastAsia="宋体" w:cs="宋体"/>
          <w:color w:val="000000"/>
          <w:sz w:val="24"/>
          <w:szCs w:val="24"/>
          <w:highlight w:val="none"/>
        </w:rPr>
        <w:t>3.2.4 承包人无正当理由拒绝更换项目负责人的违约责任：</w:t>
      </w:r>
      <w:r>
        <w:rPr>
          <w:rFonts w:hint="eastAsia" w:ascii="宋体" w:hAnsi="宋体" w:eastAsia="宋体" w:cs="宋体"/>
          <w:sz w:val="24"/>
          <w:szCs w:val="24"/>
          <w:highlight w:val="none"/>
          <w:u w:val="single"/>
          <w:lang w:val="en-US" w:eastAsia="zh-CN"/>
        </w:rPr>
        <w:t>视为承包人违约，罚款10000元，并有权解除合同并责令承包人退场，由此产生的一切损失及后果由承包人承担</w:t>
      </w:r>
      <w:r>
        <w:rPr>
          <w:rFonts w:hint="eastAsia" w:ascii="宋体" w:hAnsi="宋体" w:eastAsia="宋体" w:cs="宋体"/>
          <w:sz w:val="24"/>
          <w:szCs w:val="24"/>
          <w:highlight w:val="none"/>
          <w:u w:val="none"/>
        </w:rPr>
        <w:t>。</w:t>
      </w:r>
      <w:bookmarkEnd w:id="124"/>
      <w:bookmarkEnd w:id="125"/>
    </w:p>
    <w:p w14:paraId="6B28F77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 承包人人员</w:t>
      </w:r>
    </w:p>
    <w:p w14:paraId="09ACE5B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3.3.1 承包人提交项目管理机构及施工现场管理人员安排报告的期限：</w:t>
      </w:r>
      <w:r>
        <w:rPr>
          <w:rFonts w:hint="eastAsia" w:ascii="宋体" w:hAnsi="宋体" w:eastAsia="宋体" w:cs="宋体"/>
          <w:sz w:val="24"/>
          <w:szCs w:val="24"/>
          <w:highlight w:val="none"/>
          <w:u w:val="single"/>
          <w:lang w:val="en-US" w:eastAsia="zh-CN"/>
        </w:rPr>
        <w:t>接合同签订后7日内</w:t>
      </w:r>
      <w:r>
        <w:rPr>
          <w:rFonts w:hint="eastAsia" w:ascii="宋体" w:hAnsi="宋体" w:eastAsia="宋体" w:cs="宋体"/>
          <w:sz w:val="24"/>
          <w:szCs w:val="24"/>
          <w:highlight w:val="none"/>
        </w:rPr>
        <w:t>。</w:t>
      </w:r>
    </w:p>
    <w:p w14:paraId="6ECDD76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3.3.3 承包人无正当理由拒绝撤换主要施工管理人员的违约责任：</w:t>
      </w:r>
      <w:r>
        <w:rPr>
          <w:rFonts w:hint="eastAsia" w:ascii="宋体" w:hAnsi="宋体" w:eastAsia="宋体" w:cs="宋体"/>
          <w:sz w:val="24"/>
          <w:szCs w:val="24"/>
          <w:highlight w:val="none"/>
          <w:u w:val="single"/>
        </w:rPr>
        <w:t>视为承包人违约，罚款5000元，并有权解除合同并责令承包人退场，由此产生的一切损失及后果由承包人承担</w:t>
      </w:r>
      <w:r>
        <w:rPr>
          <w:rFonts w:hint="eastAsia" w:ascii="宋体" w:hAnsi="宋体" w:eastAsia="宋体" w:cs="宋体"/>
          <w:sz w:val="24"/>
          <w:szCs w:val="24"/>
          <w:highlight w:val="none"/>
          <w:u w:val="none"/>
        </w:rPr>
        <w:t>。</w:t>
      </w:r>
    </w:p>
    <w:p w14:paraId="6CFC47F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lang w:eastAsia="zh-CN"/>
        </w:rPr>
      </w:pPr>
      <w:r>
        <w:rPr>
          <w:rFonts w:hint="eastAsia" w:ascii="宋体" w:hAnsi="宋体" w:eastAsia="宋体" w:cs="宋体"/>
          <w:color w:val="000000"/>
          <w:sz w:val="24"/>
          <w:szCs w:val="24"/>
          <w:highlight w:val="none"/>
        </w:rPr>
        <w:t>3.3.4 承包人主要施工管理人员离开施工现场的批准要求：</w:t>
      </w:r>
      <w:r>
        <w:rPr>
          <w:rFonts w:hAnsi="宋体"/>
          <w:sz w:val="24"/>
          <w:szCs w:val="24"/>
          <w:u w:val="single"/>
        </w:rPr>
        <w:t>必须</w:t>
      </w:r>
      <w:r>
        <w:rPr>
          <w:rFonts w:hint="eastAsia" w:hAnsi="宋体"/>
          <w:sz w:val="24"/>
          <w:szCs w:val="24"/>
          <w:u w:val="single"/>
        </w:rPr>
        <w:t>事先</w:t>
      </w:r>
      <w:r>
        <w:rPr>
          <w:rFonts w:hAnsi="宋体"/>
          <w:sz w:val="24"/>
          <w:szCs w:val="24"/>
          <w:u w:val="single"/>
        </w:rPr>
        <w:t>取得</w:t>
      </w:r>
      <w:r>
        <w:rPr>
          <w:rFonts w:hint="eastAsia" w:hAnsi="宋体"/>
          <w:sz w:val="24"/>
          <w:szCs w:val="24"/>
          <w:u w:val="single"/>
        </w:rPr>
        <w:t>总</w:t>
      </w:r>
      <w:r>
        <w:rPr>
          <w:rFonts w:hAnsi="宋体"/>
          <w:sz w:val="24"/>
          <w:szCs w:val="24"/>
          <w:u w:val="single"/>
        </w:rPr>
        <w:t>监理</w:t>
      </w:r>
      <w:r>
        <w:rPr>
          <w:rFonts w:hint="eastAsia" w:hAnsi="宋体"/>
          <w:sz w:val="24"/>
          <w:szCs w:val="24"/>
          <w:u w:val="single"/>
        </w:rPr>
        <w:t>工程师</w:t>
      </w:r>
      <w:r>
        <w:rPr>
          <w:rFonts w:hAnsi="宋体"/>
          <w:sz w:val="24"/>
          <w:szCs w:val="24"/>
          <w:u w:val="single"/>
        </w:rPr>
        <w:t xml:space="preserve">和发包人的许可 </w:t>
      </w:r>
      <w:r>
        <w:rPr>
          <w:rFonts w:hint="eastAsia" w:hAnsi="宋体"/>
          <w:sz w:val="24"/>
          <w:szCs w:val="24"/>
          <w:u w:val="none"/>
          <w:lang w:eastAsia="zh-CN"/>
        </w:rPr>
        <w:t>。</w:t>
      </w:r>
    </w:p>
    <w:p w14:paraId="1407457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3.3.5承包人擅自更换主要施工管理人员的违约责任：</w:t>
      </w:r>
      <w:r>
        <w:rPr>
          <w:rFonts w:hint="eastAsia" w:ascii="宋体" w:hAnsi="宋体" w:eastAsia="宋体" w:cs="宋体"/>
          <w:sz w:val="24"/>
          <w:szCs w:val="24"/>
          <w:highlight w:val="none"/>
          <w:u w:val="single"/>
        </w:rPr>
        <w:t>视为承包人违约，罚款5000元，并有权解除合同并责令承包人退场，由此产生的一切损失及后果由承包人承担</w:t>
      </w:r>
      <w:r>
        <w:rPr>
          <w:rFonts w:hint="eastAsia" w:ascii="宋体" w:hAnsi="宋体" w:eastAsia="宋体" w:cs="宋体"/>
          <w:sz w:val="24"/>
          <w:szCs w:val="24"/>
          <w:highlight w:val="none"/>
        </w:rPr>
        <w:t>。</w:t>
      </w:r>
    </w:p>
    <w:p w14:paraId="1A3B6DB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承包人主要施工管理人员擅自离开施工现场的违约责任：</w:t>
      </w:r>
      <w:r>
        <w:rPr>
          <w:rFonts w:hint="eastAsia" w:hAnsi="宋体"/>
          <w:sz w:val="24"/>
          <w:szCs w:val="24"/>
          <w:u w:val="single"/>
        </w:rPr>
        <w:t>每擅离一天罚款1000元</w:t>
      </w:r>
      <w:r>
        <w:rPr>
          <w:rFonts w:hint="eastAsia" w:ascii="宋体" w:hAnsi="宋体" w:eastAsia="宋体" w:cs="宋体"/>
          <w:sz w:val="24"/>
          <w:szCs w:val="24"/>
          <w:highlight w:val="none"/>
          <w:u w:val="single"/>
        </w:rPr>
        <w:t>员</w:t>
      </w:r>
      <w:r>
        <w:rPr>
          <w:rFonts w:hint="eastAsia" w:ascii="宋体" w:hAnsi="宋体" w:eastAsia="宋体" w:cs="宋体"/>
          <w:sz w:val="24"/>
          <w:szCs w:val="24"/>
          <w:highlight w:val="none"/>
        </w:rPr>
        <w:t>。</w:t>
      </w:r>
    </w:p>
    <w:p w14:paraId="35BA8CBA">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bookmarkStart w:id="126" w:name="_Toc292559364"/>
      <w:bookmarkStart w:id="127" w:name="_Toc296346660"/>
      <w:bookmarkStart w:id="128" w:name="_Toc300934945"/>
      <w:bookmarkStart w:id="129" w:name="_Toc304295523"/>
      <w:bookmarkStart w:id="130" w:name="_Toc296890987"/>
      <w:bookmarkStart w:id="131" w:name="_Toc296503159"/>
      <w:bookmarkStart w:id="132" w:name="_Toc296347158"/>
      <w:bookmarkStart w:id="133" w:name="_Toc297123492"/>
      <w:bookmarkStart w:id="134" w:name="_Toc297048345"/>
      <w:bookmarkStart w:id="135" w:name="_Toc312677988"/>
      <w:bookmarkStart w:id="136" w:name="_Toc296944498"/>
      <w:bookmarkStart w:id="137" w:name="_Toc297120459"/>
      <w:bookmarkStart w:id="138" w:name="_Toc292559869"/>
      <w:bookmarkStart w:id="139" w:name="_Toc303539102"/>
      <w:bookmarkStart w:id="140" w:name="_Toc297216151"/>
      <w:bookmarkStart w:id="141" w:name="_Toc296891199"/>
      <w:r>
        <w:rPr>
          <w:rFonts w:hint="eastAsia" w:ascii="宋体" w:hAnsi="宋体" w:eastAsia="宋体" w:cs="宋体"/>
          <w:color w:val="000000"/>
          <w:sz w:val="24"/>
          <w:szCs w:val="24"/>
          <w:highlight w:val="none"/>
        </w:rPr>
        <w:t>.5 分包</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14:paraId="0DCB307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w:t>
      </w:r>
      <w:bookmarkStart w:id="142" w:name="_Toc296346661"/>
      <w:bookmarkStart w:id="143" w:name="_Toc296944499"/>
      <w:bookmarkStart w:id="144" w:name="_Toc303539103"/>
      <w:bookmarkStart w:id="145" w:name="_Toc292559870"/>
      <w:bookmarkStart w:id="146" w:name="_Toc297216152"/>
      <w:bookmarkStart w:id="147" w:name="_Toc296347159"/>
      <w:bookmarkStart w:id="148" w:name="_Toc297120460"/>
      <w:bookmarkStart w:id="149" w:name="_Toc296503160"/>
      <w:bookmarkStart w:id="150" w:name="_Toc296890988"/>
      <w:bookmarkStart w:id="151" w:name="_Toc300934946"/>
      <w:bookmarkStart w:id="152" w:name="_Toc296891200"/>
      <w:bookmarkStart w:id="153" w:name="_Toc304295524"/>
      <w:bookmarkStart w:id="154" w:name="_Toc297123493"/>
      <w:bookmarkStart w:id="155" w:name="_Toc297048346"/>
      <w:bookmarkStart w:id="156" w:name="_Toc292559365"/>
      <w:bookmarkStart w:id="157" w:name="_Toc318581158"/>
      <w:bookmarkStart w:id="158" w:name="_Toc312677989"/>
      <w:r>
        <w:rPr>
          <w:rFonts w:hint="eastAsia" w:ascii="宋体" w:hAnsi="宋体" w:eastAsia="宋体" w:cs="宋体"/>
          <w:sz w:val="24"/>
          <w:szCs w:val="24"/>
          <w:highlight w:val="none"/>
        </w:rPr>
        <w:t>.5.1 分包的一般约定</w:t>
      </w:r>
    </w:p>
    <w:p w14:paraId="15A86AB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禁止分包的工程包括：</w:t>
      </w:r>
      <w:r>
        <w:rPr>
          <w:rFonts w:hint="eastAsia" w:hAnsi="宋体"/>
          <w:sz w:val="24"/>
          <w:szCs w:val="24"/>
          <w:u w:val="single"/>
        </w:rPr>
        <w:t>本项目不允许分包</w:t>
      </w:r>
      <w:r>
        <w:rPr>
          <w:rFonts w:hint="eastAsia" w:ascii="宋体" w:hAnsi="宋体" w:eastAsia="宋体" w:cs="宋体"/>
          <w:sz w:val="24"/>
          <w:szCs w:val="24"/>
          <w:highlight w:val="none"/>
        </w:rPr>
        <w:t>。</w:t>
      </w:r>
    </w:p>
    <w:p w14:paraId="1FDED4F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sz w:val="24"/>
          <w:szCs w:val="24"/>
          <w:highlight w:val="none"/>
        </w:rPr>
        <w:t>主体结构、关键性工作的范围：</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Start w:id="159" w:name="_Toc296944500"/>
      <w:bookmarkStart w:id="160" w:name="_Toc304295525"/>
      <w:bookmarkStart w:id="161" w:name="_Toc297123494"/>
      <w:bookmarkStart w:id="162" w:name="_Toc297216153"/>
      <w:bookmarkStart w:id="163" w:name="_Toc297048347"/>
      <w:bookmarkStart w:id="164" w:name="_Toc296890989"/>
      <w:bookmarkStart w:id="165" w:name="_Toc296503161"/>
      <w:bookmarkStart w:id="166" w:name="_Toc296891201"/>
      <w:bookmarkStart w:id="167" w:name="_Toc300934947"/>
      <w:bookmarkStart w:id="168" w:name="_Toc303539104"/>
      <w:bookmarkStart w:id="169" w:name="_Toc296347160"/>
      <w:bookmarkStart w:id="170" w:name="_Toc296346662"/>
      <w:bookmarkStart w:id="171" w:name="_Toc297120461"/>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14:paraId="2939C327">
      <w:pPr>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w:t>
      </w:r>
      <w:bookmarkStart w:id="172" w:name="_Toc318581159"/>
      <w:bookmarkStart w:id="173" w:name="_Toc312677990"/>
      <w:r>
        <w:rPr>
          <w:rFonts w:hint="eastAsia" w:ascii="宋体" w:hAnsi="宋体" w:eastAsia="宋体" w:cs="宋体"/>
          <w:sz w:val="24"/>
          <w:szCs w:val="24"/>
          <w:highlight w:val="none"/>
        </w:rPr>
        <w:t>.5.2分包的确定</w:t>
      </w:r>
    </w:p>
    <w:p w14:paraId="727DF31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sz w:val="24"/>
          <w:szCs w:val="24"/>
          <w:highlight w:val="none"/>
        </w:rPr>
        <w:t>允许分包的专业工程包括：</w:t>
      </w:r>
      <w:r>
        <w:rPr>
          <w:rFonts w:hint="eastAsia" w:hAnsi="宋体"/>
          <w:sz w:val="24"/>
          <w:szCs w:val="24"/>
          <w:u w:val="single"/>
        </w:rPr>
        <w:t>本项目不允许分包</w:t>
      </w:r>
      <w:r>
        <w:rPr>
          <w:rFonts w:hint="eastAsia" w:ascii="宋体" w:hAnsi="宋体" w:eastAsia="宋体" w:cs="宋体"/>
          <w:sz w:val="24"/>
          <w:szCs w:val="24"/>
          <w:highlight w:val="none"/>
        </w:rPr>
        <w:t>。</w:t>
      </w:r>
    </w:p>
    <w:p w14:paraId="701CEF8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其他关于分包的约定：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4C8757A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3.5.4 分包合同价款</w:t>
      </w:r>
    </w:p>
    <w:p w14:paraId="7E767FC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关于分包合同价款支付的约定：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172"/>
    <w:bookmarkEnd w:id="173"/>
    <w:p w14:paraId="6F680E65">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3.6 工程照管与成品、半成品保护</w:t>
      </w:r>
    </w:p>
    <w:p w14:paraId="6FAD0152">
      <w:pPr>
        <w:pageBreakBefore w:val="0"/>
        <w:kinsoku/>
        <w:wordWrap/>
        <w:overflowPunct/>
        <w:topLinePunct w:val="0"/>
        <w:bidi w:val="0"/>
        <w:spacing w:before="120" w:after="120" w:line="360" w:lineRule="auto"/>
        <w:ind w:firstLine="480" w:firstLineChars="200"/>
        <w:textAlignment w:val="auto"/>
        <w:outlineLvl w:val="9"/>
        <w:rPr>
          <w:rFonts w:hint="eastAsia" w:ascii="宋体" w:hAnsi="宋体" w:eastAsia="宋体" w:cs="宋体"/>
          <w:color w:val="000000"/>
          <w:kern w:val="0"/>
          <w:sz w:val="24"/>
          <w:szCs w:val="24"/>
          <w:highlight w:val="none"/>
          <w:u w:val="single"/>
          <w:lang w:eastAsia="zh-CN"/>
        </w:rPr>
      </w:pPr>
      <w:r>
        <w:rPr>
          <w:rFonts w:hint="eastAsia" w:ascii="宋体" w:hAnsi="宋体" w:eastAsia="宋体" w:cs="宋体"/>
          <w:color w:val="000000"/>
          <w:kern w:val="0"/>
          <w:sz w:val="24"/>
          <w:szCs w:val="24"/>
          <w:highlight w:val="none"/>
        </w:rPr>
        <w:t>承包人负责照管工程及工程相关的材料、工程设备的起始时间：</w:t>
      </w:r>
      <w:r>
        <w:rPr>
          <w:rFonts w:hint="eastAsia" w:hAnsi="宋体"/>
          <w:sz w:val="24"/>
          <w:szCs w:val="24"/>
          <w:u w:val="single"/>
        </w:rPr>
        <w:t>合同签订后</w:t>
      </w:r>
      <w:r>
        <w:rPr>
          <w:rFonts w:hint="eastAsia" w:hAnsi="宋体"/>
          <w:sz w:val="24"/>
          <w:szCs w:val="24"/>
          <w:u w:val="none"/>
          <w:lang w:eastAsia="zh-CN"/>
        </w:rPr>
        <w:t>。</w:t>
      </w:r>
    </w:p>
    <w:p w14:paraId="496F2A5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41DC68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none"/>
        </w:rPr>
        <w:t>；</w:t>
      </w:r>
    </w:p>
    <w:p w14:paraId="1686ADE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p>
    <w:p w14:paraId="3191B4D4">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174" w:name="_Toc351203636"/>
      <w:r>
        <w:rPr>
          <w:rFonts w:hint="eastAsia" w:ascii="宋体" w:hAnsi="宋体" w:eastAsia="宋体" w:cs="宋体"/>
          <w:b w:val="0"/>
          <w:color w:val="000000"/>
          <w:sz w:val="24"/>
          <w:szCs w:val="24"/>
          <w:highlight w:val="none"/>
        </w:rPr>
        <w:t>4</w:t>
      </w:r>
      <w:bookmarkStart w:id="175" w:name="_Toc296890990"/>
      <w:bookmarkStart w:id="176" w:name="_Toc292559871"/>
      <w:bookmarkStart w:id="177" w:name="_Toc296347161"/>
      <w:bookmarkStart w:id="178" w:name="_Toc296346663"/>
      <w:bookmarkStart w:id="179" w:name="_Toc297048348"/>
      <w:bookmarkStart w:id="180" w:name="_Toc297120462"/>
      <w:bookmarkStart w:id="181" w:name="_Toc292559366"/>
      <w:bookmarkStart w:id="182" w:name="_Toc267251413"/>
      <w:bookmarkStart w:id="183" w:name="_Toc296503162"/>
      <w:bookmarkStart w:id="184" w:name="_Toc296944501"/>
      <w:bookmarkStart w:id="185" w:name="_Toc296891202"/>
      <w:r>
        <w:rPr>
          <w:rFonts w:hint="eastAsia" w:ascii="宋体" w:hAnsi="宋体" w:eastAsia="宋体" w:cs="宋体"/>
          <w:b w:val="0"/>
          <w:color w:val="000000"/>
          <w:sz w:val="24"/>
          <w:szCs w:val="24"/>
          <w:highlight w:val="none"/>
        </w:rPr>
        <w:t>. 监</w:t>
      </w:r>
      <w:bookmarkEnd w:id="175"/>
      <w:bookmarkEnd w:id="176"/>
      <w:bookmarkEnd w:id="177"/>
      <w:bookmarkEnd w:id="178"/>
      <w:bookmarkEnd w:id="179"/>
      <w:bookmarkEnd w:id="180"/>
      <w:bookmarkEnd w:id="181"/>
      <w:bookmarkEnd w:id="182"/>
      <w:bookmarkEnd w:id="183"/>
      <w:bookmarkEnd w:id="184"/>
      <w:bookmarkEnd w:id="185"/>
      <w:r>
        <w:rPr>
          <w:rFonts w:hint="eastAsia" w:ascii="宋体" w:hAnsi="宋体" w:eastAsia="宋体" w:cs="宋体"/>
          <w:b w:val="0"/>
          <w:color w:val="000000"/>
          <w:sz w:val="24"/>
          <w:szCs w:val="24"/>
          <w:highlight w:val="none"/>
        </w:rPr>
        <w:t>理人</w:t>
      </w:r>
      <w:bookmarkEnd w:id="174"/>
    </w:p>
    <w:p w14:paraId="2311B57C">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4.1监理人的一般规定</w:t>
      </w:r>
    </w:p>
    <w:p w14:paraId="4901859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关于监理人的监理内容：</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见监理合同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333EB4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关于监理人的监理权限：</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见监理合同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2D28CD8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关于监理人在施工现场的办公场所、生活场所的提供和费用承担的约定：</w:t>
      </w:r>
      <w:r>
        <w:rPr>
          <w:rFonts w:hint="eastAsia" w:hAnsi="宋体"/>
          <w:sz w:val="24"/>
          <w:szCs w:val="24"/>
          <w:u w:val="single"/>
          <w:lang w:val="en-US" w:eastAsia="zh-CN"/>
        </w:rPr>
        <w:t>最基本的现场的办公场所由甲方提供，施工现场不提供生活场所，监理人食宿自理</w:t>
      </w:r>
      <w:r>
        <w:rPr>
          <w:rFonts w:hint="eastAsia" w:ascii="宋体" w:hAnsi="宋体" w:eastAsia="宋体" w:cs="宋体"/>
          <w:color w:val="000000"/>
          <w:sz w:val="24"/>
          <w:szCs w:val="24"/>
          <w:highlight w:val="none"/>
        </w:rPr>
        <w:t>。</w:t>
      </w:r>
    </w:p>
    <w:p w14:paraId="03B796F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4.2 监理人员</w:t>
      </w:r>
    </w:p>
    <w:p w14:paraId="3BF5E7F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总监理工程师：</w:t>
      </w:r>
    </w:p>
    <w:p w14:paraId="68EB566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303CFD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8BF4C1F">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监理工程师执业资格证书号：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0A89E7E">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联系电话：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8D1994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29D00B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通信地址：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EA07A6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关于监理人的其他约定：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ACC8DD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4.4 商定或确定</w:t>
      </w:r>
    </w:p>
    <w:p w14:paraId="1829F52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rPr>
      </w:pPr>
      <w:bookmarkStart w:id="186" w:name="_Toc267251418"/>
      <w:r>
        <w:rPr>
          <w:rFonts w:hint="eastAsia" w:ascii="宋体" w:hAnsi="宋体" w:eastAsia="宋体" w:cs="宋体"/>
          <w:color w:val="000000"/>
          <w:sz w:val="24"/>
          <w:szCs w:val="24"/>
          <w:highlight w:val="none"/>
        </w:rPr>
        <w:t>在发包人和承包人不能通过协商达成一致意见时，发包人授权监理人对以下事项进行确定：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highlight w:val="none"/>
          <w:u w:val="none"/>
        </w:rPr>
        <w:t>。</w:t>
      </w:r>
    </w:p>
    <w:p w14:paraId="4499A2FB">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187" w:name="_Toc351203637"/>
      <w:r>
        <w:rPr>
          <w:rFonts w:hint="eastAsia" w:ascii="宋体" w:hAnsi="宋体" w:eastAsia="宋体" w:cs="宋体"/>
          <w:b w:val="0"/>
          <w:color w:val="000000"/>
          <w:sz w:val="24"/>
          <w:szCs w:val="24"/>
          <w:highlight w:val="none"/>
        </w:rPr>
        <w:t>5</w:t>
      </w:r>
      <w:bookmarkEnd w:id="186"/>
      <w:bookmarkStart w:id="188" w:name="_Toc296503163"/>
      <w:bookmarkStart w:id="189" w:name="_Toc296890991"/>
      <w:bookmarkStart w:id="190" w:name="_Toc292559367"/>
      <w:bookmarkStart w:id="191" w:name="_Toc296944502"/>
      <w:bookmarkStart w:id="192" w:name="_Toc297048349"/>
      <w:bookmarkStart w:id="193" w:name="_Toc297120463"/>
      <w:bookmarkStart w:id="194" w:name="_Toc296346664"/>
      <w:bookmarkStart w:id="195" w:name="_Toc296891203"/>
      <w:bookmarkStart w:id="196" w:name="_Toc292559872"/>
      <w:bookmarkStart w:id="197" w:name="_Toc296347162"/>
      <w:r>
        <w:rPr>
          <w:rFonts w:hint="eastAsia" w:ascii="宋体" w:hAnsi="宋体" w:eastAsia="宋体" w:cs="宋体"/>
          <w:b w:val="0"/>
          <w:color w:val="000000"/>
          <w:sz w:val="24"/>
          <w:szCs w:val="24"/>
          <w:highlight w:val="none"/>
        </w:rPr>
        <w:t>. 工程质量</w:t>
      </w:r>
      <w:bookmarkEnd w:id="187"/>
    </w:p>
    <w:p w14:paraId="1854AED5">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198" w:name="_Toc23621"/>
      <w:bookmarkStart w:id="199" w:name="_Toc21902"/>
      <w:bookmarkStart w:id="200" w:name="_Toc7044"/>
      <w:r>
        <w:rPr>
          <w:rFonts w:hint="eastAsia" w:ascii="宋体" w:hAnsi="宋体" w:eastAsia="宋体" w:cs="宋体"/>
          <w:color w:val="000000"/>
          <w:sz w:val="24"/>
          <w:szCs w:val="24"/>
          <w:highlight w:val="none"/>
        </w:rPr>
        <w:t>5.1 质量要求</w:t>
      </w:r>
      <w:bookmarkEnd w:id="198"/>
      <w:bookmarkEnd w:id="199"/>
      <w:bookmarkEnd w:id="200"/>
    </w:p>
    <w:p w14:paraId="2075C36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w:t>
      </w:r>
      <w:bookmarkStart w:id="201" w:name="_Toc303539106"/>
      <w:bookmarkStart w:id="202" w:name="_Toc304295527"/>
      <w:bookmarkStart w:id="203" w:name="_Toc300934949"/>
      <w:bookmarkStart w:id="204" w:name="_Toc297123496"/>
      <w:bookmarkStart w:id="205" w:name="_Toc318581164"/>
      <w:bookmarkStart w:id="206" w:name="_Toc312677997"/>
      <w:bookmarkStart w:id="207" w:name="_Toc297216155"/>
      <w:r>
        <w:rPr>
          <w:rFonts w:hint="eastAsia" w:ascii="宋体" w:hAnsi="宋体" w:eastAsia="宋体" w:cs="宋体"/>
          <w:sz w:val="24"/>
          <w:szCs w:val="24"/>
          <w:highlight w:val="none"/>
        </w:rPr>
        <w:t>.1.1 特殊质量标准和要求：</w:t>
      </w:r>
      <w:r>
        <w:rPr>
          <w:rFonts w:hint="eastAsia" w:ascii="宋体" w:hAnsi="宋体" w:eastAsia="宋体" w:cs="宋体"/>
          <w:sz w:val="24"/>
          <w:szCs w:val="24"/>
          <w:highlight w:val="none"/>
          <w:u w:val="single"/>
        </w:rPr>
        <w:t>工程质量必须达到合格标准等级</w:t>
      </w:r>
      <w:r>
        <w:rPr>
          <w:rFonts w:hint="eastAsia" w:ascii="宋体" w:hAnsi="宋体" w:eastAsia="宋体" w:cs="宋体"/>
          <w:sz w:val="24"/>
          <w:szCs w:val="24"/>
          <w:highlight w:val="none"/>
        </w:rPr>
        <w:t>。</w:t>
      </w:r>
    </w:p>
    <w:p w14:paraId="3BA3CE7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关于工程奖项的约定：</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433C186C">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208" w:name="_Toc20034"/>
      <w:bookmarkStart w:id="209" w:name="_Toc12538"/>
      <w:bookmarkStart w:id="210" w:name="_Toc27624"/>
      <w:r>
        <w:rPr>
          <w:rFonts w:hint="eastAsia" w:ascii="宋体" w:hAnsi="宋体" w:eastAsia="宋体" w:cs="宋体"/>
          <w:color w:val="000000"/>
          <w:sz w:val="24"/>
          <w:szCs w:val="24"/>
          <w:highlight w:val="none"/>
        </w:rPr>
        <w:t>5.3 隐蔽工程检查</w:t>
      </w:r>
      <w:bookmarkEnd w:id="208"/>
      <w:bookmarkEnd w:id="209"/>
      <w:bookmarkEnd w:id="210"/>
    </w:p>
    <w:p w14:paraId="4DEA166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5.3.2承包人提前通知监理人隐蔽工程检查的期限的约定：</w:t>
      </w:r>
      <w:r>
        <w:rPr>
          <w:rFonts w:hint="eastAsia" w:ascii="宋体" w:hAnsi="宋体" w:eastAsia="宋体" w:cs="宋体"/>
          <w:sz w:val="24"/>
          <w:szCs w:val="24"/>
          <w:highlight w:val="none"/>
          <w:u w:val="single"/>
        </w:rPr>
        <w:t xml:space="preserve">承包人在检查前12小时以书面形式通知监理人 </w:t>
      </w:r>
      <w:r>
        <w:rPr>
          <w:rFonts w:hint="eastAsia" w:ascii="宋体" w:hAnsi="宋体" w:eastAsia="宋体" w:cs="宋体"/>
          <w:sz w:val="24"/>
          <w:szCs w:val="24"/>
          <w:highlight w:val="none"/>
        </w:rPr>
        <w:t>。</w:t>
      </w:r>
    </w:p>
    <w:p w14:paraId="049CC92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监理人不能按时进行检查时，应提前</w:t>
      </w:r>
      <w:r>
        <w:rPr>
          <w:rFonts w:hint="eastAsia" w:ascii="宋体" w:hAnsi="宋体" w:eastAsia="宋体" w:cs="宋体"/>
          <w:sz w:val="24"/>
          <w:szCs w:val="24"/>
          <w:highlight w:val="none"/>
          <w:u w:val="single"/>
        </w:rPr>
        <w:t>12</w:t>
      </w:r>
      <w:r>
        <w:rPr>
          <w:rFonts w:hint="eastAsia" w:ascii="宋体" w:hAnsi="宋体" w:eastAsia="宋体" w:cs="宋体"/>
          <w:sz w:val="24"/>
          <w:szCs w:val="24"/>
          <w:highlight w:val="none"/>
        </w:rPr>
        <w:t>小时提交书面延期要求。</w:t>
      </w:r>
    </w:p>
    <w:p w14:paraId="32486CB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关于延期最长不得超过：</w:t>
      </w:r>
      <w:r>
        <w:rPr>
          <w:rFonts w:hint="eastAsia" w:ascii="宋体" w:hAnsi="宋体" w:eastAsia="宋体" w:cs="宋体"/>
          <w:sz w:val="24"/>
          <w:szCs w:val="24"/>
          <w:highlight w:val="none"/>
          <w:u w:val="single"/>
        </w:rPr>
        <w:t>24</w:t>
      </w:r>
      <w:r>
        <w:rPr>
          <w:rFonts w:hint="eastAsia" w:ascii="宋体" w:hAnsi="宋体" w:eastAsia="宋体" w:cs="宋体"/>
          <w:sz w:val="24"/>
          <w:szCs w:val="24"/>
          <w:highlight w:val="none"/>
        </w:rPr>
        <w:t>小时。</w:t>
      </w:r>
    </w:p>
    <w:p w14:paraId="1BEA9822">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211" w:name="_Toc351203638"/>
      <w:r>
        <w:rPr>
          <w:rFonts w:hint="eastAsia" w:ascii="宋体" w:hAnsi="宋体" w:eastAsia="宋体" w:cs="宋体"/>
          <w:b w:val="0"/>
          <w:color w:val="000000"/>
          <w:sz w:val="24"/>
          <w:szCs w:val="24"/>
          <w:highlight w:val="none"/>
        </w:rPr>
        <w:t>6. 安全文明施工与环境保护</w:t>
      </w:r>
      <w:bookmarkEnd w:id="211"/>
    </w:p>
    <w:p w14:paraId="52A9BE3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6.1安全文明施工</w:t>
      </w:r>
    </w:p>
    <w:p w14:paraId="3CD721D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6.1.1</w:t>
      </w:r>
      <w:r>
        <w:rPr>
          <w:rFonts w:hint="eastAsia" w:ascii="宋体" w:hAnsi="宋体" w:eastAsia="宋体" w:cs="宋体"/>
          <w:color w:val="000000"/>
          <w:sz w:val="24"/>
          <w:szCs w:val="24"/>
          <w:highlight w:val="none"/>
        </w:rPr>
        <w:t xml:space="preserve"> 项目安全生产的达标目标及相应事项的约定：</w:t>
      </w:r>
      <w:r>
        <w:rPr>
          <w:rFonts w:hint="eastAsia" w:ascii="宋体" w:hAnsi="宋体" w:eastAsia="宋体" w:cs="宋体"/>
          <w:sz w:val="24"/>
          <w:szCs w:val="24"/>
          <w:highlight w:val="none"/>
          <w:u w:val="single"/>
        </w:rPr>
        <w:t>达到安全生产标准化要求。在整个合同实施过程中，承包人应对现场人员的安全、现场秩序、工程保护、环境保护等负责，并对工地围护、照明、防护、标志、警告信号、保卫人员等作出具体安排，并按照国家、省市有关规定及施工现场实际情况做好施工现场的安全保卫工作及非夜间施工照明，确保施工安全。</w:t>
      </w:r>
      <w:r>
        <w:rPr>
          <w:rFonts w:hint="eastAsia" w:ascii="宋体" w:hAnsi="宋体" w:eastAsia="宋体" w:cs="宋体"/>
          <w:sz w:val="24"/>
          <w:szCs w:val="24"/>
          <w:highlight w:val="none"/>
          <w:u w:val="single"/>
          <w:lang w:eastAsia="zh-CN"/>
        </w:rPr>
        <w:t>遵守地方政府和有关部门对施工现场扬尘污染问题的规定，工地出入口道路必须硬化，必须进行净化处理，并配备专门的清洗设备和人员，负责清除驶出施工工地运输车体和车轮的泥土，车体和车轮不得带泥土驶出工地。承包人负责承担违反上述规定所发生的费用</w:t>
      </w:r>
      <w:r>
        <w:rPr>
          <w:rFonts w:hint="eastAsia" w:ascii="宋体" w:hAnsi="宋体" w:eastAsia="宋体" w:cs="宋体"/>
          <w:sz w:val="24"/>
          <w:szCs w:val="24"/>
          <w:highlight w:val="none"/>
          <w:u w:val="none"/>
        </w:rPr>
        <w:t>。</w:t>
      </w:r>
    </w:p>
    <w:p w14:paraId="2AE7E3D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6.1.4 关于治安保卫的特别约定：</w:t>
      </w:r>
      <w:r>
        <w:rPr>
          <w:rFonts w:hint="eastAsia" w:hAnsi="宋体"/>
          <w:sz w:val="24"/>
          <w:szCs w:val="24"/>
          <w:u w:val="single"/>
        </w:rPr>
        <w:t>按通用条款执行</w:t>
      </w:r>
      <w:r>
        <w:rPr>
          <w:rFonts w:hint="eastAsia" w:ascii="宋体" w:hAnsi="宋体" w:eastAsia="宋体" w:cs="宋体"/>
          <w:sz w:val="24"/>
          <w:szCs w:val="24"/>
          <w:highlight w:val="none"/>
          <w:u w:val="none"/>
        </w:rPr>
        <w:t>。</w:t>
      </w:r>
    </w:p>
    <w:p w14:paraId="645C434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关于编制施工场地治安管理计划的约定：</w:t>
      </w:r>
      <w:r>
        <w:rPr>
          <w:rFonts w:hint="eastAsia" w:ascii="宋体" w:hAnsi="宋体" w:eastAsia="宋体" w:cs="宋体"/>
          <w:sz w:val="24"/>
          <w:szCs w:val="24"/>
          <w:highlight w:val="none"/>
          <w:u w:val="single"/>
        </w:rPr>
        <w:t xml:space="preserve">由发包人和承包人共同编制 </w:t>
      </w:r>
      <w:r>
        <w:rPr>
          <w:rFonts w:hint="eastAsia" w:ascii="宋体" w:hAnsi="宋体" w:eastAsia="宋体" w:cs="宋体"/>
          <w:sz w:val="24"/>
          <w:szCs w:val="24"/>
          <w:highlight w:val="none"/>
        </w:rPr>
        <w:t>。</w:t>
      </w:r>
    </w:p>
    <w:p w14:paraId="57215A0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6.1.5 文明施工</w:t>
      </w:r>
    </w:p>
    <w:p w14:paraId="393F2A1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合同当事人对文明施工的要求：</w:t>
      </w:r>
      <w:r>
        <w:rPr>
          <w:rFonts w:hint="eastAsia" w:hAnsi="宋体"/>
          <w:sz w:val="24"/>
          <w:szCs w:val="24"/>
          <w:u w:val="single"/>
        </w:rPr>
        <w:t>按通用条款执行</w:t>
      </w:r>
      <w:r>
        <w:rPr>
          <w:rFonts w:hint="eastAsia" w:hAnsi="宋体"/>
          <w:sz w:val="24"/>
          <w:szCs w:val="24"/>
          <w:u w:val="none"/>
          <w:lang w:eastAsia="zh-CN"/>
        </w:rPr>
        <w:t>。</w:t>
      </w:r>
    </w:p>
    <w:p w14:paraId="27A4BF7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6.1.6 关于安全文明施工费支付比例和支付期限的约定：</w:t>
      </w:r>
      <w:r>
        <w:rPr>
          <w:rFonts w:hint="eastAsia" w:ascii="宋体" w:hAnsi="宋体" w:eastAsia="宋体" w:cs="宋体"/>
          <w:sz w:val="24"/>
          <w:szCs w:val="24"/>
          <w:highlight w:val="none"/>
          <w:u w:val="single"/>
        </w:rPr>
        <w:t>与进度款同期支付</w:t>
      </w:r>
      <w:r>
        <w:rPr>
          <w:rFonts w:hint="eastAsia" w:ascii="宋体" w:hAnsi="宋体" w:eastAsia="宋体" w:cs="宋体"/>
          <w:sz w:val="24"/>
          <w:szCs w:val="24"/>
          <w:highlight w:val="none"/>
          <w:u w:val="none"/>
        </w:rPr>
        <w:t>。</w:t>
      </w:r>
    </w:p>
    <w:bookmarkEnd w:id="201"/>
    <w:bookmarkEnd w:id="202"/>
    <w:bookmarkEnd w:id="203"/>
    <w:bookmarkEnd w:id="204"/>
    <w:bookmarkEnd w:id="205"/>
    <w:bookmarkEnd w:id="206"/>
    <w:bookmarkEnd w:id="207"/>
    <w:p w14:paraId="17EDC4AD">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212" w:name="_Toc351203639"/>
      <w:r>
        <w:rPr>
          <w:rFonts w:hint="eastAsia" w:ascii="宋体" w:hAnsi="宋体" w:eastAsia="宋体" w:cs="宋体"/>
          <w:b w:val="0"/>
          <w:color w:val="000000"/>
          <w:sz w:val="24"/>
          <w:szCs w:val="24"/>
          <w:highlight w:val="none"/>
        </w:rPr>
        <w:t>7. 工期和进度</w:t>
      </w:r>
      <w:bookmarkEnd w:id="212"/>
    </w:p>
    <w:p w14:paraId="12958C1E">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 施工组织设计</w:t>
      </w:r>
    </w:p>
    <w:p w14:paraId="757317A3">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u w:val="single"/>
        </w:rPr>
      </w:pPr>
      <w:r>
        <w:rPr>
          <w:rFonts w:hint="eastAsia" w:ascii="宋体" w:hAnsi="宋体" w:eastAsia="宋体" w:cs="宋体"/>
          <w:sz w:val="24"/>
          <w:szCs w:val="24"/>
          <w:highlight w:val="none"/>
        </w:rPr>
        <w:t xml:space="preserve">7.1.1 </w:t>
      </w:r>
      <w:r>
        <w:rPr>
          <w:rFonts w:hint="eastAsia" w:ascii="宋体" w:hAnsi="宋体" w:eastAsia="宋体" w:cs="宋体"/>
          <w:color w:val="000000"/>
          <w:sz w:val="24"/>
          <w:szCs w:val="24"/>
          <w:highlight w:val="none"/>
        </w:rPr>
        <w:t>合</w:t>
      </w:r>
      <w:r>
        <w:rPr>
          <w:rFonts w:hint="eastAsia" w:ascii="宋体" w:hAnsi="宋体" w:eastAsia="宋体" w:cs="宋体"/>
          <w:color w:val="000000"/>
          <w:kern w:val="0"/>
          <w:sz w:val="24"/>
          <w:szCs w:val="24"/>
          <w:highlight w:val="none"/>
        </w:rPr>
        <w:t>同当事人约定的施工组织设计应包括的其他内容：</w:t>
      </w:r>
      <w:r>
        <w:rPr>
          <w:rFonts w:hint="eastAsia" w:hAnsi="宋体"/>
          <w:sz w:val="24"/>
          <w:szCs w:val="24"/>
          <w:u w:val="single"/>
        </w:rPr>
        <w:t>按通用条款执行</w:t>
      </w:r>
      <w:r>
        <w:rPr>
          <w:rFonts w:hint="eastAsia" w:ascii="宋体" w:hAnsi="宋体" w:eastAsia="宋体" w:cs="宋体"/>
          <w:kern w:val="0"/>
          <w:sz w:val="24"/>
          <w:szCs w:val="24"/>
          <w:highlight w:val="none"/>
          <w:u w:val="none"/>
        </w:rPr>
        <w:t>。</w:t>
      </w:r>
    </w:p>
    <w:p w14:paraId="4D912CFA">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sz w:val="24"/>
          <w:szCs w:val="24"/>
          <w:highlight w:val="none"/>
        </w:rPr>
        <w:t>7.1.2</w:t>
      </w:r>
      <w:r>
        <w:rPr>
          <w:rFonts w:hint="eastAsia" w:ascii="宋体" w:hAnsi="宋体" w:eastAsia="宋体" w:cs="宋体"/>
          <w:color w:val="000000"/>
          <w:kern w:val="0"/>
          <w:sz w:val="24"/>
          <w:szCs w:val="24"/>
          <w:highlight w:val="none"/>
        </w:rPr>
        <w:t>施工组织设计的提交和修改</w:t>
      </w:r>
    </w:p>
    <w:p w14:paraId="2162B279">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rPr>
        <w:t>承包人提交详细施工组织设计的期限的约定：</w:t>
      </w:r>
      <w:r>
        <w:rPr>
          <w:rFonts w:hint="eastAsia" w:ascii="宋体" w:hAnsi="宋体" w:eastAsia="宋体" w:cs="宋体"/>
          <w:sz w:val="24"/>
          <w:szCs w:val="24"/>
          <w:highlight w:val="none"/>
          <w:u w:val="single"/>
        </w:rPr>
        <w:t>合同签订后14日内</w:t>
      </w:r>
      <w:r>
        <w:rPr>
          <w:rFonts w:hint="eastAsia" w:ascii="宋体" w:hAnsi="宋体" w:eastAsia="宋体" w:cs="宋体"/>
          <w:sz w:val="24"/>
          <w:szCs w:val="24"/>
          <w:highlight w:val="none"/>
        </w:rPr>
        <w:t>。</w:t>
      </w:r>
    </w:p>
    <w:p w14:paraId="3C2894E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发包人和监理人在收到详细的施工组织设计后确认或提出修改意见的期限：</w:t>
      </w:r>
      <w:r>
        <w:rPr>
          <w:rFonts w:hint="eastAsia" w:ascii="宋体" w:hAnsi="宋体" w:eastAsia="宋体" w:cs="宋体"/>
          <w:sz w:val="24"/>
          <w:szCs w:val="24"/>
          <w:highlight w:val="none"/>
          <w:u w:val="single"/>
        </w:rPr>
        <w:t xml:space="preserve">收到施工组织设计后7天内 </w:t>
      </w:r>
      <w:r>
        <w:rPr>
          <w:rFonts w:hint="eastAsia" w:ascii="宋体" w:hAnsi="宋体" w:eastAsia="宋体" w:cs="宋体"/>
          <w:sz w:val="24"/>
          <w:szCs w:val="24"/>
          <w:highlight w:val="none"/>
        </w:rPr>
        <w:t>。</w:t>
      </w:r>
    </w:p>
    <w:p w14:paraId="0D55227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13" w:name="_Toc297123514"/>
      <w:bookmarkStart w:id="214" w:name="_Toc304295541"/>
      <w:bookmarkStart w:id="215" w:name="_Toc300934966"/>
      <w:bookmarkStart w:id="216" w:name="_Toc297216173"/>
      <w:bookmarkStart w:id="217" w:name="_Toc312678005"/>
      <w:bookmarkStart w:id="218" w:name="_Toc312677479"/>
      <w:bookmarkStart w:id="219" w:name="_Toc303539123"/>
      <w:r>
        <w:rPr>
          <w:rFonts w:hint="eastAsia" w:ascii="宋体" w:hAnsi="宋体" w:eastAsia="宋体" w:cs="宋体"/>
          <w:color w:val="000000"/>
          <w:sz w:val="24"/>
          <w:szCs w:val="24"/>
          <w:highlight w:val="none"/>
        </w:rPr>
        <w:t>.2 施工进度计划</w:t>
      </w:r>
    </w:p>
    <w:p w14:paraId="0808689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7.2.2 施工进度计划的修订</w:t>
      </w:r>
    </w:p>
    <w:p w14:paraId="4ED2CA8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发包人和监理人在收到修订的施工进度计划后确认或提出修改意见的期限：</w:t>
      </w:r>
      <w:r>
        <w:rPr>
          <w:rFonts w:hint="eastAsia" w:ascii="宋体" w:hAnsi="宋体" w:eastAsia="宋体" w:cs="宋体"/>
          <w:sz w:val="24"/>
          <w:szCs w:val="24"/>
          <w:highlight w:val="none"/>
          <w:u w:val="single"/>
        </w:rPr>
        <w:t>收到修订的施工进度计划后7天内</w:t>
      </w:r>
      <w:r>
        <w:rPr>
          <w:rFonts w:hint="eastAsia" w:ascii="宋体" w:hAnsi="宋体" w:eastAsia="宋体" w:cs="宋体"/>
          <w:sz w:val="24"/>
          <w:szCs w:val="24"/>
          <w:highlight w:val="none"/>
        </w:rPr>
        <w:t>。</w:t>
      </w:r>
    </w:p>
    <w:p w14:paraId="65BAACE4">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 开工</w:t>
      </w:r>
    </w:p>
    <w:p w14:paraId="26F9ECE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7.3.1 开工准备</w:t>
      </w:r>
    </w:p>
    <w:p w14:paraId="2DE061CE">
      <w:pPr>
        <w:pageBreakBefore w:val="0"/>
        <w:kinsoku/>
        <w:wordWrap/>
        <w:overflowPunct/>
        <w:topLinePunct w:val="0"/>
        <w:bidi w:val="0"/>
        <w:spacing w:line="360" w:lineRule="auto"/>
        <w:ind w:firstLine="645"/>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关于承包人提交</w:t>
      </w:r>
      <w:r>
        <w:rPr>
          <w:rFonts w:hint="eastAsia" w:ascii="宋体" w:hAnsi="宋体" w:eastAsia="宋体" w:cs="宋体"/>
          <w:color w:val="000000"/>
          <w:kern w:val="0"/>
          <w:sz w:val="24"/>
          <w:szCs w:val="24"/>
          <w:highlight w:val="none"/>
        </w:rPr>
        <w:t>工程开工报审表的期限：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合同签订后7日内</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2A9AD93">
      <w:pPr>
        <w:pageBreakBefore w:val="0"/>
        <w:kinsoku/>
        <w:wordWrap/>
        <w:overflowPunct/>
        <w:topLinePunct w:val="0"/>
        <w:bidi w:val="0"/>
        <w:spacing w:line="360" w:lineRule="auto"/>
        <w:ind w:firstLine="645"/>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关于发包人应完成的其他开工准备工作及期限：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3571146">
      <w:pPr>
        <w:pageBreakBefore w:val="0"/>
        <w:kinsoku/>
        <w:wordWrap/>
        <w:overflowPunct/>
        <w:topLinePunct w:val="0"/>
        <w:bidi w:val="0"/>
        <w:spacing w:line="360" w:lineRule="auto"/>
        <w:ind w:firstLine="720" w:firstLineChars="3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关于承包人应完成的其他开工准备工作及期限：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5061293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7.3.2开工通知</w:t>
      </w:r>
    </w:p>
    <w:p w14:paraId="4DEF0C8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因发包人原因造成监理人未能在计划开工日期之日起</w:t>
      </w:r>
      <w:r>
        <w:rPr>
          <w:rFonts w:hint="eastAsia" w:ascii="宋体" w:hAnsi="宋体" w:eastAsia="宋体" w:cs="宋体"/>
          <w:sz w:val="24"/>
          <w:szCs w:val="24"/>
          <w:highlight w:val="none"/>
          <w:u w:val="single"/>
          <w:lang w:val="en-US" w:eastAsia="zh-CN"/>
        </w:rPr>
        <w:t>9</w:t>
      </w:r>
      <w:r>
        <w:rPr>
          <w:rFonts w:hint="eastAsia" w:ascii="宋体" w:hAnsi="宋体" w:eastAsia="宋体" w:cs="宋体"/>
          <w:sz w:val="24"/>
          <w:szCs w:val="24"/>
          <w:highlight w:val="none"/>
          <w:u w:val="single"/>
        </w:rPr>
        <w:t>0</w:t>
      </w:r>
      <w:r>
        <w:rPr>
          <w:rFonts w:hint="eastAsia" w:ascii="宋体" w:hAnsi="宋体" w:eastAsia="宋体" w:cs="宋体"/>
          <w:color w:val="000000"/>
          <w:sz w:val="24"/>
          <w:szCs w:val="24"/>
          <w:highlight w:val="none"/>
        </w:rPr>
        <w:t>天内发出开工通知的，承包人有权提出价格调整要求，或者解除合同。</w:t>
      </w:r>
    </w:p>
    <w:bookmarkEnd w:id="213"/>
    <w:bookmarkEnd w:id="214"/>
    <w:bookmarkEnd w:id="215"/>
    <w:bookmarkEnd w:id="216"/>
    <w:bookmarkEnd w:id="217"/>
    <w:bookmarkEnd w:id="218"/>
    <w:bookmarkEnd w:id="219"/>
    <w:p w14:paraId="054E02A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 测量放线</w:t>
      </w:r>
    </w:p>
    <w:p w14:paraId="18A8ADA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7.4.1发包人通过监理人向承包人提供测量基准点、基准线和水准点及其书面资料的期限：</w:t>
      </w:r>
      <w:r>
        <w:rPr>
          <w:rFonts w:hint="eastAsia" w:ascii="宋体" w:hAnsi="宋体" w:eastAsia="宋体" w:cs="宋体"/>
          <w:sz w:val="24"/>
          <w:szCs w:val="24"/>
          <w:highlight w:val="none"/>
          <w:u w:val="single"/>
        </w:rPr>
        <w:t>开工日期7天前</w:t>
      </w:r>
      <w:r>
        <w:rPr>
          <w:rFonts w:hint="eastAsia" w:ascii="宋体" w:hAnsi="宋体" w:eastAsia="宋体" w:cs="宋体"/>
          <w:sz w:val="24"/>
          <w:szCs w:val="24"/>
          <w:highlight w:val="none"/>
        </w:rPr>
        <w:t>。</w:t>
      </w:r>
    </w:p>
    <w:p w14:paraId="2D90757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20" w:name="_Toc312677484"/>
      <w:bookmarkStart w:id="221" w:name="_Toc303539125"/>
      <w:bookmarkStart w:id="222" w:name="_Toc297123516"/>
      <w:bookmarkStart w:id="223" w:name="_Toc300934968"/>
      <w:bookmarkStart w:id="224" w:name="_Toc304295546"/>
      <w:bookmarkStart w:id="225" w:name="_Toc312678010"/>
      <w:bookmarkStart w:id="226" w:name="_Toc297216175"/>
      <w:r>
        <w:rPr>
          <w:rFonts w:hint="eastAsia" w:ascii="宋体" w:hAnsi="宋体" w:eastAsia="宋体" w:cs="宋体"/>
          <w:color w:val="000000"/>
          <w:sz w:val="24"/>
          <w:szCs w:val="24"/>
          <w:highlight w:val="none"/>
        </w:rPr>
        <w:t>.5 工期延误</w:t>
      </w:r>
    </w:p>
    <w:bookmarkEnd w:id="220"/>
    <w:bookmarkEnd w:id="221"/>
    <w:bookmarkEnd w:id="222"/>
    <w:bookmarkEnd w:id="223"/>
    <w:bookmarkEnd w:id="224"/>
    <w:bookmarkEnd w:id="225"/>
    <w:bookmarkEnd w:id="226"/>
    <w:p w14:paraId="25B65E1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7.5.1 因发包人原因导致工期延误</w:t>
      </w:r>
    </w:p>
    <w:p w14:paraId="4B47854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（7）因发包人原因导致工期延误的其他情形：</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31C165E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w:t>
      </w:r>
      <w:bookmarkStart w:id="227" w:name="_Toc312677486"/>
      <w:bookmarkStart w:id="228" w:name="_Toc312678012"/>
      <w:bookmarkStart w:id="229" w:name="_Toc318581169"/>
      <w:bookmarkStart w:id="230" w:name="_Toc297123518"/>
      <w:bookmarkStart w:id="231" w:name="_Toc297216177"/>
      <w:bookmarkStart w:id="232" w:name="_Toc303539127"/>
      <w:bookmarkStart w:id="233" w:name="_Toc304295548"/>
      <w:bookmarkStart w:id="234" w:name="_Toc300934970"/>
      <w:r>
        <w:rPr>
          <w:rFonts w:hint="eastAsia" w:ascii="宋体" w:hAnsi="宋体" w:eastAsia="宋体" w:cs="宋体"/>
          <w:sz w:val="24"/>
          <w:szCs w:val="24"/>
          <w:highlight w:val="none"/>
        </w:rPr>
        <w:t>.5.2 因承包人原因导致工期延误</w:t>
      </w:r>
    </w:p>
    <w:bookmarkEnd w:id="227"/>
    <w:bookmarkEnd w:id="228"/>
    <w:bookmarkEnd w:id="229"/>
    <w:p w14:paraId="680087D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因</w:t>
      </w:r>
      <w:bookmarkStart w:id="235" w:name="_Toc312678013"/>
      <w:bookmarkStart w:id="236" w:name="_Toc312677487"/>
      <w:bookmarkStart w:id="237" w:name="_Toc318581170"/>
      <w:r>
        <w:rPr>
          <w:rFonts w:hint="eastAsia" w:ascii="宋体" w:hAnsi="宋体" w:eastAsia="宋体" w:cs="宋体"/>
          <w:sz w:val="24"/>
          <w:szCs w:val="24"/>
          <w:highlight w:val="none"/>
        </w:rPr>
        <w:t>承包人原因造成工期延误，逾期竣工违约金的计算方法为：</w:t>
      </w:r>
      <w:bookmarkEnd w:id="230"/>
      <w:bookmarkEnd w:id="231"/>
      <w:bookmarkEnd w:id="232"/>
      <w:bookmarkEnd w:id="233"/>
      <w:bookmarkEnd w:id="234"/>
      <w:bookmarkEnd w:id="235"/>
      <w:bookmarkEnd w:id="236"/>
      <w:r>
        <w:rPr>
          <w:rFonts w:hint="eastAsia" w:ascii="宋体" w:hAnsi="宋体" w:eastAsia="宋体" w:cs="宋体"/>
          <w:sz w:val="24"/>
          <w:szCs w:val="24"/>
          <w:highlight w:val="none"/>
          <w:u w:val="single"/>
        </w:rPr>
        <w:t>每延误一天，承包人赔偿给发包人合同价的千分之五违约金</w:t>
      </w:r>
      <w:r>
        <w:rPr>
          <w:rFonts w:hint="eastAsia" w:ascii="宋体" w:hAnsi="宋体" w:eastAsia="宋体" w:cs="宋体"/>
          <w:sz w:val="24"/>
          <w:szCs w:val="24"/>
          <w:highlight w:val="none"/>
        </w:rPr>
        <w:t>。</w:t>
      </w:r>
    </w:p>
    <w:bookmarkEnd w:id="237"/>
    <w:p w14:paraId="7BBFB50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因承包人原因造成工期延误，逾</w:t>
      </w:r>
      <w:bookmarkStart w:id="238" w:name="_Toc312678014"/>
      <w:bookmarkStart w:id="239" w:name="_Toc318581171"/>
      <w:r>
        <w:rPr>
          <w:rFonts w:hint="eastAsia" w:ascii="宋体" w:hAnsi="宋体" w:eastAsia="宋体" w:cs="宋体"/>
          <w:sz w:val="24"/>
          <w:szCs w:val="24"/>
          <w:highlight w:val="none"/>
        </w:rPr>
        <w:t>期竣工违约金的上限：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238"/>
    <w:bookmarkEnd w:id="239"/>
    <w:p w14:paraId="0D58E0F2">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40" w:name="_Toc303539128"/>
      <w:bookmarkStart w:id="241" w:name="_Toc300934971"/>
      <w:bookmarkStart w:id="242" w:name="_Toc304295549"/>
      <w:bookmarkStart w:id="243" w:name="_Toc297123519"/>
      <w:bookmarkStart w:id="244" w:name="_Toc297216178"/>
      <w:bookmarkStart w:id="245" w:name="_Toc312678015"/>
      <w:r>
        <w:rPr>
          <w:rFonts w:hint="eastAsia" w:ascii="宋体" w:hAnsi="宋体" w:eastAsia="宋体" w:cs="宋体"/>
          <w:color w:val="000000"/>
          <w:sz w:val="24"/>
          <w:szCs w:val="24"/>
          <w:highlight w:val="none"/>
        </w:rPr>
        <w:t>.6 不</w:t>
      </w:r>
      <w:bookmarkEnd w:id="240"/>
      <w:bookmarkEnd w:id="241"/>
      <w:bookmarkEnd w:id="242"/>
      <w:bookmarkEnd w:id="243"/>
      <w:bookmarkEnd w:id="244"/>
      <w:bookmarkEnd w:id="245"/>
      <w:r>
        <w:rPr>
          <w:rFonts w:hint="eastAsia" w:ascii="宋体" w:hAnsi="宋体" w:eastAsia="宋体" w:cs="宋体"/>
          <w:color w:val="000000"/>
          <w:sz w:val="24"/>
          <w:szCs w:val="24"/>
          <w:highlight w:val="none"/>
        </w:rPr>
        <w:t>利物质条件</w:t>
      </w:r>
    </w:p>
    <w:p w14:paraId="51B8EF3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bookmarkStart w:id="246" w:name="_Toc304295550"/>
      <w:bookmarkStart w:id="247" w:name="_Toc318581172"/>
      <w:bookmarkStart w:id="248" w:name="_Toc312678016"/>
      <w:bookmarkStart w:id="249" w:name="_Toc297123520"/>
      <w:bookmarkStart w:id="250" w:name="_Toc300934972"/>
      <w:bookmarkStart w:id="251" w:name="_Toc297216179"/>
      <w:bookmarkStart w:id="252" w:name="_Toc303539129"/>
      <w:r>
        <w:rPr>
          <w:rFonts w:hint="eastAsia" w:ascii="宋体" w:hAnsi="宋体" w:eastAsia="宋体" w:cs="宋体"/>
          <w:sz w:val="24"/>
          <w:szCs w:val="24"/>
          <w:highlight w:val="none"/>
        </w:rPr>
        <w:t>不利物质条件的其他情形和有关约定：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246"/>
    <w:bookmarkEnd w:id="247"/>
    <w:bookmarkEnd w:id="248"/>
    <w:bookmarkEnd w:id="249"/>
    <w:bookmarkEnd w:id="250"/>
    <w:bookmarkEnd w:id="251"/>
    <w:bookmarkEnd w:id="252"/>
    <w:p w14:paraId="658D8466">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bookmarkStart w:id="253" w:name="_Toc297123521"/>
      <w:bookmarkStart w:id="254" w:name="_Toc300934973"/>
      <w:bookmarkStart w:id="255" w:name="_Toc304295551"/>
      <w:bookmarkStart w:id="256" w:name="_Toc297216180"/>
      <w:bookmarkStart w:id="257" w:name="_Toc312678017"/>
      <w:bookmarkStart w:id="258" w:name="_Toc303539130"/>
      <w:r>
        <w:rPr>
          <w:rFonts w:hint="eastAsia" w:ascii="宋体" w:hAnsi="宋体" w:eastAsia="宋体" w:cs="宋体"/>
          <w:color w:val="000000"/>
          <w:sz w:val="24"/>
          <w:szCs w:val="24"/>
          <w:highlight w:val="none"/>
        </w:rPr>
        <w:t>.7异常恶劣的气候条件</w:t>
      </w:r>
    </w:p>
    <w:bookmarkEnd w:id="253"/>
    <w:bookmarkEnd w:id="254"/>
    <w:bookmarkEnd w:id="255"/>
    <w:bookmarkEnd w:id="256"/>
    <w:bookmarkEnd w:id="257"/>
    <w:bookmarkEnd w:id="258"/>
    <w:p w14:paraId="2658F9C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发包人和承包人同意以下情形视为异常恶劣的气候条件：</w:t>
      </w:r>
      <w:r>
        <w:rPr>
          <w:rFonts w:hint="eastAsia" w:hAnsi="宋体"/>
          <w:sz w:val="24"/>
          <w:szCs w:val="24"/>
          <w:u w:val="single"/>
        </w:rPr>
        <w:t>执行通用条款</w:t>
      </w:r>
      <w:r>
        <w:rPr>
          <w:rFonts w:hint="eastAsia" w:ascii="宋体" w:hAnsi="宋体" w:eastAsia="宋体" w:cs="宋体"/>
          <w:sz w:val="24"/>
          <w:szCs w:val="24"/>
          <w:highlight w:val="none"/>
          <w:u w:val="none"/>
        </w:rPr>
        <w:t>。</w:t>
      </w:r>
    </w:p>
    <w:p w14:paraId="690F5FCF">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259" w:name="_Toc13851"/>
      <w:bookmarkStart w:id="260" w:name="_Toc10444"/>
      <w:bookmarkStart w:id="261" w:name="_Toc20473"/>
      <w:r>
        <w:rPr>
          <w:rFonts w:hint="eastAsia" w:ascii="宋体" w:hAnsi="宋体" w:eastAsia="宋体" w:cs="宋体"/>
          <w:color w:val="000000"/>
          <w:sz w:val="24"/>
          <w:szCs w:val="24"/>
          <w:highlight w:val="none"/>
        </w:rPr>
        <w:t>7.9 提前竣工的奖励</w:t>
      </w:r>
      <w:bookmarkEnd w:id="259"/>
      <w:bookmarkEnd w:id="260"/>
      <w:bookmarkEnd w:id="261"/>
    </w:p>
    <w:p w14:paraId="1E404D9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7.9.2提前竣工的奖励：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506CDCD">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262" w:name="_Toc351203640"/>
      <w:r>
        <w:rPr>
          <w:rFonts w:hint="eastAsia" w:ascii="宋体" w:hAnsi="宋体" w:eastAsia="宋体" w:cs="宋体"/>
          <w:b w:val="0"/>
          <w:bCs w:val="0"/>
          <w:color w:val="000000"/>
          <w:sz w:val="24"/>
          <w:szCs w:val="24"/>
          <w:highlight w:val="none"/>
        </w:rPr>
        <w:t>8. 材料与设备</w:t>
      </w:r>
      <w:bookmarkEnd w:id="262"/>
    </w:p>
    <w:bookmarkEnd w:id="188"/>
    <w:bookmarkEnd w:id="189"/>
    <w:bookmarkEnd w:id="190"/>
    <w:bookmarkEnd w:id="191"/>
    <w:bookmarkEnd w:id="192"/>
    <w:bookmarkEnd w:id="193"/>
    <w:bookmarkEnd w:id="194"/>
    <w:bookmarkEnd w:id="195"/>
    <w:bookmarkEnd w:id="196"/>
    <w:bookmarkEnd w:id="197"/>
    <w:p w14:paraId="2436B06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bookmarkStart w:id="263" w:name="_Toc296347166"/>
      <w:bookmarkStart w:id="264" w:name="_Toc312678019"/>
      <w:bookmarkStart w:id="265" w:name="_Toc296890995"/>
      <w:bookmarkStart w:id="266" w:name="_Toc296891207"/>
      <w:bookmarkStart w:id="267" w:name="_Toc296503167"/>
      <w:bookmarkStart w:id="268" w:name="_Toc296944506"/>
      <w:bookmarkStart w:id="269" w:name="_Toc304295556"/>
      <w:bookmarkStart w:id="270" w:name="_Toc292559372"/>
      <w:bookmarkStart w:id="271" w:name="_Toc292559877"/>
      <w:bookmarkStart w:id="272" w:name="_Toc303539136"/>
      <w:bookmarkStart w:id="273" w:name="_Toc312677493"/>
      <w:bookmarkStart w:id="274" w:name="_Toc297048353"/>
      <w:bookmarkStart w:id="275" w:name="_Toc280868654"/>
      <w:bookmarkStart w:id="276" w:name="_Toc297216186"/>
      <w:bookmarkStart w:id="277" w:name="_Toc300934979"/>
      <w:bookmarkStart w:id="278" w:name="_Toc297120467"/>
      <w:bookmarkStart w:id="279" w:name="_Toc296346668"/>
      <w:bookmarkStart w:id="280" w:name="_Toc297123527"/>
      <w:bookmarkStart w:id="281" w:name="_Toc280868656"/>
      <w:bookmarkStart w:id="282" w:name="_Toc280868655"/>
      <w:bookmarkStart w:id="283" w:name="_Toc267251424"/>
      <w:r>
        <w:rPr>
          <w:rFonts w:hint="eastAsia" w:ascii="宋体" w:hAnsi="宋体" w:eastAsia="宋体" w:cs="宋体"/>
          <w:color w:val="000000"/>
          <w:sz w:val="24"/>
          <w:szCs w:val="24"/>
          <w:highlight w:val="none"/>
        </w:rPr>
        <w:t>.4材料与工程设备的保管与使用</w:t>
      </w:r>
    </w:p>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14:paraId="0EF892F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w:t>
      </w:r>
      <w:bookmarkStart w:id="284" w:name="_Toc292559373"/>
      <w:bookmarkStart w:id="285" w:name="_Toc292559878"/>
      <w:bookmarkStart w:id="286" w:name="_Toc297120468"/>
      <w:bookmarkStart w:id="287" w:name="_Toc296944507"/>
      <w:bookmarkStart w:id="288" w:name="_Toc296347167"/>
      <w:bookmarkStart w:id="289" w:name="_Toc312678020"/>
      <w:bookmarkStart w:id="290" w:name="_Toc304295557"/>
      <w:bookmarkStart w:id="291" w:name="_Toc303539137"/>
      <w:bookmarkStart w:id="292" w:name="_Toc296346669"/>
      <w:bookmarkStart w:id="293" w:name="_Toc296503168"/>
      <w:bookmarkStart w:id="294" w:name="_Toc318581173"/>
      <w:bookmarkStart w:id="295" w:name="_Toc297048354"/>
      <w:bookmarkStart w:id="296" w:name="_Toc312677494"/>
      <w:bookmarkStart w:id="297" w:name="_Toc300934980"/>
      <w:bookmarkStart w:id="298" w:name="_Toc296891208"/>
      <w:bookmarkStart w:id="299" w:name="_Toc297216187"/>
      <w:bookmarkStart w:id="300" w:name="_Toc297123528"/>
      <w:bookmarkStart w:id="301" w:name="_Toc296890996"/>
      <w:r>
        <w:rPr>
          <w:rFonts w:hint="eastAsia" w:ascii="宋体" w:hAnsi="宋体" w:eastAsia="宋体" w:cs="宋体"/>
          <w:sz w:val="24"/>
          <w:szCs w:val="24"/>
          <w:highlight w:val="none"/>
        </w:rPr>
        <w:t>.4.1发包人供应的材料设备的保管费用的承担：</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由承包人承担</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bookmarkEnd w:id="284"/>
      <w:bookmarkEnd w:id="285"/>
    </w:p>
    <w:p w14:paraId="0FA0FDC2">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302" w:name="_Toc28721"/>
      <w:bookmarkStart w:id="303" w:name="_Toc17737"/>
      <w:bookmarkStart w:id="304" w:name="_Toc8864"/>
      <w:r>
        <w:rPr>
          <w:rFonts w:hint="eastAsia" w:ascii="宋体" w:hAnsi="宋体" w:eastAsia="宋体" w:cs="宋体"/>
          <w:color w:val="000000"/>
          <w:sz w:val="24"/>
          <w:szCs w:val="24"/>
          <w:highlight w:val="none"/>
        </w:rPr>
        <w:t>8.6 样品</w:t>
      </w:r>
      <w:bookmarkEnd w:id="302"/>
      <w:bookmarkEnd w:id="303"/>
      <w:bookmarkEnd w:id="304"/>
    </w:p>
    <w:p w14:paraId="1616E5FC">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8.6.1样品的报送与封存</w:t>
      </w:r>
    </w:p>
    <w:p w14:paraId="75991A9B">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rPr>
        <w:t>需要承包人报送样品的材料或工程设备，样品的种类、名称、规格、数量要求：</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按管理部门及发包人要求确定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526BAD3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305" w:name="_Toc6243"/>
      <w:bookmarkStart w:id="306" w:name="_Toc26154"/>
      <w:bookmarkStart w:id="307" w:name="_Toc23843"/>
      <w:r>
        <w:rPr>
          <w:rFonts w:hint="eastAsia" w:ascii="宋体" w:hAnsi="宋体" w:eastAsia="宋体" w:cs="宋体"/>
          <w:color w:val="000000"/>
          <w:sz w:val="24"/>
          <w:szCs w:val="24"/>
          <w:highlight w:val="none"/>
        </w:rPr>
        <w:t>8.8 施工设备和临时设施</w:t>
      </w:r>
      <w:bookmarkEnd w:id="305"/>
      <w:bookmarkEnd w:id="306"/>
      <w:bookmarkEnd w:id="307"/>
    </w:p>
    <w:p w14:paraId="3E18618F">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8.8.1 承包人提供的施工设备和临时设施</w:t>
      </w:r>
    </w:p>
    <w:p w14:paraId="365E4A6D">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关于修建临时设施费用承担的约定：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由承包人承担</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6DFEF291">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308" w:name="_Toc351203641"/>
      <w:r>
        <w:rPr>
          <w:rFonts w:hint="eastAsia" w:ascii="宋体" w:hAnsi="宋体" w:eastAsia="宋体" w:cs="宋体"/>
          <w:b w:val="0"/>
          <w:bCs w:val="0"/>
          <w:color w:val="000000"/>
          <w:sz w:val="24"/>
          <w:szCs w:val="24"/>
          <w:highlight w:val="none"/>
        </w:rPr>
        <w:t>9</w:t>
      </w:r>
      <w:bookmarkEnd w:id="281"/>
      <w:bookmarkEnd w:id="282"/>
      <w:bookmarkEnd w:id="283"/>
      <w:bookmarkStart w:id="309" w:name="_Toc297216192"/>
      <w:bookmarkStart w:id="310" w:name="_Toc297123533"/>
      <w:bookmarkStart w:id="311" w:name="_Toc300934982"/>
      <w:bookmarkStart w:id="312" w:name="_Toc312677495"/>
      <w:bookmarkStart w:id="313" w:name="_Toc303539139"/>
      <w:bookmarkStart w:id="314" w:name="_Toc312678021"/>
      <w:bookmarkStart w:id="315" w:name="_Toc304295559"/>
      <w:bookmarkStart w:id="316" w:name="_Toc296891213"/>
      <w:bookmarkStart w:id="317" w:name="_Toc292559883"/>
      <w:bookmarkStart w:id="318" w:name="_Toc296944512"/>
      <w:bookmarkStart w:id="319" w:name="_Toc296347172"/>
      <w:bookmarkStart w:id="320" w:name="_Toc296891001"/>
      <w:bookmarkStart w:id="321" w:name="_Toc296503173"/>
      <w:bookmarkStart w:id="322" w:name="_Toc267251428"/>
      <w:bookmarkStart w:id="323" w:name="_Toc297120473"/>
      <w:bookmarkStart w:id="324" w:name="_Toc292559378"/>
      <w:bookmarkStart w:id="325" w:name="_Toc297048359"/>
      <w:bookmarkStart w:id="326" w:name="_Toc267251427"/>
      <w:bookmarkStart w:id="327" w:name="_Toc296346674"/>
      <w:r>
        <w:rPr>
          <w:rFonts w:hint="eastAsia" w:ascii="宋体" w:hAnsi="宋体" w:eastAsia="宋体" w:cs="宋体"/>
          <w:b w:val="0"/>
          <w:bCs w:val="0"/>
          <w:color w:val="000000"/>
          <w:sz w:val="24"/>
          <w:szCs w:val="24"/>
          <w:highlight w:val="none"/>
        </w:rPr>
        <w:t>. 试验与检验</w:t>
      </w:r>
      <w:bookmarkEnd w:id="308"/>
    </w:p>
    <w:bookmarkEnd w:id="309"/>
    <w:bookmarkEnd w:id="310"/>
    <w:bookmarkEnd w:id="311"/>
    <w:bookmarkEnd w:id="312"/>
    <w:bookmarkEnd w:id="313"/>
    <w:bookmarkEnd w:id="314"/>
    <w:bookmarkEnd w:id="315"/>
    <w:p w14:paraId="1F537A39">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bookmarkStart w:id="328" w:name="_Toc300934983"/>
      <w:bookmarkStart w:id="329" w:name="_Toc304295560"/>
      <w:bookmarkStart w:id="330" w:name="_Toc303539140"/>
      <w:bookmarkStart w:id="331" w:name="_Toc297216193"/>
      <w:bookmarkStart w:id="332" w:name="_Toc312677496"/>
      <w:bookmarkStart w:id="333" w:name="_Toc312678022"/>
      <w:bookmarkStart w:id="334" w:name="_Toc297123534"/>
      <w:r>
        <w:rPr>
          <w:rFonts w:hint="eastAsia" w:ascii="宋体" w:hAnsi="宋体" w:eastAsia="宋体" w:cs="宋体"/>
          <w:color w:val="000000"/>
          <w:sz w:val="24"/>
          <w:szCs w:val="24"/>
          <w:highlight w:val="none"/>
        </w:rPr>
        <w:t>.1试验设备与试验人员</w:t>
      </w:r>
    </w:p>
    <w:bookmarkEnd w:id="328"/>
    <w:bookmarkEnd w:id="329"/>
    <w:bookmarkEnd w:id="330"/>
    <w:bookmarkEnd w:id="331"/>
    <w:bookmarkEnd w:id="332"/>
    <w:bookmarkEnd w:id="333"/>
    <w:bookmarkEnd w:id="334"/>
    <w:p w14:paraId="258C202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9</w:t>
      </w:r>
      <w:bookmarkStart w:id="335" w:name="_Toc297123535"/>
      <w:bookmarkStart w:id="336" w:name="_Toc300934984"/>
      <w:bookmarkStart w:id="337" w:name="_Toc297216194"/>
      <w:bookmarkStart w:id="338" w:name="_Toc312678023"/>
      <w:bookmarkStart w:id="339" w:name="_Toc304295561"/>
      <w:bookmarkStart w:id="340" w:name="_Toc312677497"/>
      <w:bookmarkStart w:id="341" w:name="_Toc303539141"/>
      <w:bookmarkStart w:id="342" w:name="_Toc318581174"/>
      <w:r>
        <w:rPr>
          <w:rFonts w:hint="eastAsia" w:ascii="宋体" w:hAnsi="宋体" w:eastAsia="宋体" w:cs="宋体"/>
          <w:sz w:val="24"/>
          <w:szCs w:val="24"/>
          <w:highlight w:val="none"/>
        </w:rPr>
        <w:t>.1.2 试验设备</w:t>
      </w:r>
    </w:p>
    <w:p w14:paraId="3C4B295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施工现场需要配置的试验场所：</w:t>
      </w:r>
      <w:bookmarkEnd w:id="335"/>
      <w:bookmarkEnd w:id="336"/>
      <w:bookmarkEnd w:id="337"/>
      <w:bookmarkEnd w:id="338"/>
      <w:bookmarkEnd w:id="339"/>
      <w:bookmarkEnd w:id="340"/>
      <w:bookmarkEnd w:id="341"/>
      <w:bookmarkStart w:id="343" w:name="_Toc312678024"/>
      <w:bookmarkStart w:id="344" w:name="_Toc300934985"/>
      <w:bookmarkStart w:id="345" w:name="_Toc304295562"/>
      <w:bookmarkStart w:id="346" w:name="_Toc297216195"/>
      <w:bookmarkStart w:id="347" w:name="_Toc303539142"/>
      <w:bookmarkStart w:id="348" w:name="_Toc312677498"/>
      <w:bookmarkStart w:id="349" w:name="_Toc297123536"/>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由承包人提供</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7B069AC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施工现场需要配备的试验设备：</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由承包人提供</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F8FE2D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施工现场需要具备的其他试验条件：</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由承包人提供</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3A837AE">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350" w:name="_Toc8736"/>
      <w:bookmarkStart w:id="351" w:name="_Toc28436"/>
      <w:bookmarkStart w:id="352" w:name="_Toc27700"/>
      <w:r>
        <w:rPr>
          <w:rFonts w:hint="eastAsia" w:ascii="宋体" w:hAnsi="宋体" w:eastAsia="宋体" w:cs="宋体"/>
          <w:color w:val="000000"/>
          <w:sz w:val="24"/>
          <w:szCs w:val="24"/>
          <w:highlight w:val="none"/>
        </w:rPr>
        <w:t>9.4 现场工艺试验</w:t>
      </w:r>
      <w:bookmarkEnd w:id="350"/>
      <w:bookmarkEnd w:id="351"/>
      <w:bookmarkEnd w:id="352"/>
      <w:r>
        <w:rPr>
          <w:rFonts w:hint="eastAsia" w:ascii="宋体" w:hAnsi="宋体" w:eastAsia="宋体" w:cs="宋体"/>
          <w:color w:val="000000"/>
          <w:sz w:val="24"/>
          <w:szCs w:val="24"/>
          <w:highlight w:val="none"/>
        </w:rPr>
        <w:t xml:space="preserve"> </w:t>
      </w:r>
    </w:p>
    <w:p w14:paraId="7D46C8D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现场工艺试验的有关约定：</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执行通用条款</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342"/>
    <w:bookmarkEnd w:id="343"/>
    <w:bookmarkEnd w:id="344"/>
    <w:bookmarkEnd w:id="345"/>
    <w:bookmarkEnd w:id="346"/>
    <w:bookmarkEnd w:id="347"/>
    <w:bookmarkEnd w:id="348"/>
    <w:bookmarkEnd w:id="349"/>
    <w:p w14:paraId="36FF9009">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353" w:name="_Toc351203642"/>
      <w:r>
        <w:rPr>
          <w:rFonts w:hint="eastAsia" w:ascii="宋体" w:hAnsi="宋体" w:eastAsia="宋体" w:cs="宋体"/>
          <w:b w:val="0"/>
          <w:bCs w:val="0"/>
          <w:color w:val="000000"/>
          <w:sz w:val="24"/>
          <w:szCs w:val="24"/>
          <w:highlight w:val="none"/>
        </w:rPr>
        <w:t>1</w:t>
      </w:r>
      <w:bookmarkEnd w:id="316"/>
      <w:bookmarkEnd w:id="317"/>
      <w:bookmarkEnd w:id="318"/>
      <w:bookmarkEnd w:id="319"/>
      <w:bookmarkEnd w:id="320"/>
      <w:bookmarkEnd w:id="321"/>
      <w:bookmarkEnd w:id="322"/>
      <w:bookmarkEnd w:id="323"/>
      <w:bookmarkEnd w:id="324"/>
      <w:bookmarkEnd w:id="325"/>
      <w:bookmarkEnd w:id="326"/>
      <w:bookmarkEnd w:id="327"/>
      <w:bookmarkStart w:id="354" w:name="_Toc296891021"/>
      <w:bookmarkStart w:id="355" w:name="_Toc296891233"/>
      <w:bookmarkStart w:id="356" w:name="_Toc297048379"/>
      <w:bookmarkStart w:id="357" w:name="_Toc296347192"/>
      <w:bookmarkStart w:id="358" w:name="_Toc297120493"/>
      <w:bookmarkStart w:id="359" w:name="_Toc304295566"/>
      <w:bookmarkStart w:id="360" w:name="_Toc300934989"/>
      <w:bookmarkStart w:id="361" w:name="_Toc303539146"/>
      <w:bookmarkStart w:id="362" w:name="_Toc292559903"/>
      <w:bookmarkStart w:id="363" w:name="_Toc297216199"/>
      <w:bookmarkStart w:id="364" w:name="_Toc296944532"/>
      <w:bookmarkStart w:id="365" w:name="_Toc297123540"/>
      <w:bookmarkStart w:id="366" w:name="_Toc296503193"/>
      <w:bookmarkStart w:id="367" w:name="_Toc296346694"/>
      <w:bookmarkStart w:id="368" w:name="_Toc292559398"/>
      <w:bookmarkStart w:id="369" w:name="_Toc312678025"/>
      <w:bookmarkStart w:id="370" w:name="_Toc312677499"/>
      <w:bookmarkStart w:id="371" w:name="_Toc267251437"/>
      <w:bookmarkStart w:id="372" w:name="_Toc267251433"/>
      <w:bookmarkStart w:id="373" w:name="_Toc267251441"/>
      <w:bookmarkStart w:id="374" w:name="_Toc267251440"/>
      <w:bookmarkStart w:id="375" w:name="_Toc267251435"/>
      <w:bookmarkStart w:id="376" w:name="_Toc267251439"/>
      <w:bookmarkStart w:id="377" w:name="_Toc267251442"/>
      <w:r>
        <w:rPr>
          <w:rFonts w:hint="eastAsia" w:ascii="宋体" w:hAnsi="宋体" w:eastAsia="宋体" w:cs="宋体"/>
          <w:b w:val="0"/>
          <w:bCs w:val="0"/>
          <w:color w:val="000000"/>
          <w:sz w:val="24"/>
          <w:szCs w:val="24"/>
          <w:highlight w:val="none"/>
        </w:rPr>
        <w:t>0. 变更</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bookmarkEnd w:id="369"/>
    <w:bookmarkEnd w:id="370"/>
    <w:p w14:paraId="263E4BD8">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Start w:id="378" w:name="_Toc297048380"/>
      <w:bookmarkStart w:id="379" w:name="_Toc312677500"/>
      <w:bookmarkStart w:id="380" w:name="_Toc296891022"/>
      <w:bookmarkStart w:id="381" w:name="_Toc296503194"/>
      <w:bookmarkStart w:id="382" w:name="_Toc300934990"/>
      <w:bookmarkStart w:id="383" w:name="_Toc296346695"/>
      <w:bookmarkStart w:id="384" w:name="_Toc297216200"/>
      <w:bookmarkStart w:id="385" w:name="_Toc303539147"/>
      <w:bookmarkStart w:id="386" w:name="_Toc297123541"/>
      <w:bookmarkStart w:id="387" w:name="_Toc296944533"/>
      <w:bookmarkStart w:id="388" w:name="_Toc304295567"/>
      <w:bookmarkStart w:id="389" w:name="_Toc296347193"/>
      <w:bookmarkStart w:id="390" w:name="_Toc312678026"/>
      <w:bookmarkStart w:id="391" w:name="_Toc292559904"/>
      <w:bookmarkStart w:id="392" w:name="_Toc297120494"/>
      <w:bookmarkStart w:id="393" w:name="_Toc296891234"/>
      <w:bookmarkStart w:id="394" w:name="_Toc292559399"/>
      <w:r>
        <w:rPr>
          <w:rFonts w:hint="eastAsia" w:ascii="宋体" w:hAnsi="宋体" w:eastAsia="宋体" w:cs="宋体"/>
          <w:color w:val="000000"/>
          <w:sz w:val="24"/>
          <w:szCs w:val="24"/>
          <w:highlight w:val="none"/>
        </w:rPr>
        <w:t>0.1变更的范围</w:t>
      </w:r>
    </w:p>
    <w:p w14:paraId="6375401C">
      <w:pPr>
        <w:pageBreakBefore w:val="0"/>
        <w:kinsoku/>
        <w:wordWrap/>
        <w:overflowPunct/>
        <w:topLinePunct w:val="0"/>
        <w:bidi w:val="0"/>
        <w:spacing w:line="360" w:lineRule="auto"/>
        <w:ind w:firstLine="6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关于变更的范围的约定：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按通用条款执行     </w:t>
      </w:r>
      <w:r>
        <w:rPr>
          <w:rFonts w:hint="eastAsia" w:ascii="宋体" w:hAnsi="宋体" w:eastAsia="宋体" w:cs="宋体"/>
          <w:sz w:val="24"/>
          <w:szCs w:val="24"/>
          <w:highlight w:val="none"/>
        </w:rPr>
        <w:t>。</w:t>
      </w:r>
    </w:p>
    <w:p w14:paraId="3088316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395" w:name="_Toc17729"/>
      <w:bookmarkStart w:id="396" w:name="_Toc4536"/>
      <w:bookmarkStart w:id="397" w:name="_Toc31971"/>
      <w:r>
        <w:rPr>
          <w:rFonts w:hint="eastAsia" w:ascii="宋体" w:hAnsi="宋体" w:eastAsia="宋体" w:cs="宋体"/>
          <w:color w:val="000000"/>
          <w:sz w:val="24"/>
          <w:szCs w:val="24"/>
          <w:highlight w:val="none"/>
        </w:rPr>
        <w:t>10.4 变更估价</w:t>
      </w:r>
      <w:bookmarkEnd w:id="395"/>
      <w:bookmarkEnd w:id="396"/>
      <w:bookmarkEnd w:id="397"/>
    </w:p>
    <w:p w14:paraId="4737C96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10.4.1 变更估价原则</w:t>
      </w:r>
    </w:p>
    <w:p w14:paraId="7E467036">
      <w:pPr>
        <w:pageBreakBefore w:val="0"/>
        <w:kinsoku/>
        <w:wordWrap/>
        <w:overflowPunct/>
        <w:topLinePunct w:val="0"/>
        <w:bidi w:val="0"/>
        <w:spacing w:line="360" w:lineRule="auto"/>
        <w:ind w:firstLine="6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 xml:space="preserve">关于变更估价的约定: </w:t>
      </w:r>
      <w:r>
        <w:rPr>
          <w:rFonts w:hint="eastAsia" w:ascii="宋体" w:hAnsi="宋体" w:eastAsia="宋体" w:cs="宋体"/>
          <w:sz w:val="24"/>
          <w:szCs w:val="24"/>
          <w:highlight w:val="none"/>
          <w:u w:val="single"/>
        </w:rPr>
        <w:t>因工程变更引起工程数量发生变化时，应按照下列规定调整</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（1）适用于变更工程项目的，应采用该项目的单价；（2）没有适用但有类似于变更工程项目的，可在合理范围内参照类似项目的单价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3）没有适用也没有类似于变更工程项目的，应由承包人根据变更工程资料、计算规则和计价办法、工程造价管理机构发布的信息价和承包人报价浮动率提出变更工程项目的单价，并应报发包人确认后调整。承包人报价浮动率按下列公式计算：承包人报价浮动率L=（1-中标价/招标控制价）*100%</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4）己变更工程量清单中没有适用也没有类似于变更工程项目，且工程造价管理机构发布的信息价缺价的，由承包人根据变更工程资料、计算规则、计价办法和通过市场调查等取得合法依据的市场价格提出变更工程项目的单价，并应报发包人确认后调整</w:t>
      </w:r>
      <w:r>
        <w:rPr>
          <w:rFonts w:hint="eastAsia" w:ascii="宋体" w:hAnsi="宋体" w:eastAsia="宋体" w:cs="宋体"/>
          <w:sz w:val="24"/>
          <w:szCs w:val="24"/>
          <w:highlight w:val="none"/>
          <w:u w:val="none"/>
        </w:rPr>
        <w:t>。</w:t>
      </w:r>
    </w:p>
    <w:p w14:paraId="0A0C041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Start w:id="398" w:name="_Toc296503197"/>
      <w:bookmarkStart w:id="399" w:name="_Toc296346698"/>
      <w:bookmarkStart w:id="400" w:name="_Toc297048383"/>
      <w:bookmarkStart w:id="401" w:name="_Toc296944536"/>
      <w:bookmarkStart w:id="402" w:name="_Toc303539150"/>
      <w:bookmarkStart w:id="403" w:name="_Toc292559907"/>
      <w:bookmarkStart w:id="404" w:name="_Toc297123544"/>
      <w:bookmarkStart w:id="405" w:name="_Toc296347196"/>
      <w:bookmarkStart w:id="406" w:name="_Toc297120497"/>
      <w:bookmarkStart w:id="407" w:name="_Toc300934993"/>
      <w:bookmarkStart w:id="408" w:name="_Toc296891025"/>
      <w:bookmarkStart w:id="409" w:name="_Toc297216203"/>
      <w:bookmarkStart w:id="410" w:name="_Toc292559402"/>
      <w:bookmarkStart w:id="411" w:name="_Toc296891237"/>
      <w:bookmarkStart w:id="412" w:name="_Toc304295570"/>
      <w:bookmarkStart w:id="413" w:name="_Toc312677503"/>
      <w:bookmarkStart w:id="414" w:name="_Toc312678029"/>
      <w:r>
        <w:rPr>
          <w:rFonts w:hint="eastAsia" w:ascii="宋体" w:hAnsi="宋体" w:eastAsia="宋体" w:cs="宋体"/>
          <w:color w:val="000000"/>
          <w:sz w:val="24"/>
          <w:szCs w:val="24"/>
          <w:highlight w:val="none"/>
        </w:rPr>
        <w:t>0.5承</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Start w:id="415" w:name="_Toc296944542"/>
      <w:bookmarkStart w:id="416" w:name="_Toc296347202"/>
      <w:bookmarkStart w:id="417" w:name="_Toc297216204"/>
      <w:bookmarkStart w:id="418" w:name="_Toc296503203"/>
      <w:bookmarkStart w:id="419" w:name="_Toc300934994"/>
      <w:bookmarkStart w:id="420" w:name="_Toc303539151"/>
      <w:bookmarkStart w:id="421" w:name="_Toc296346704"/>
      <w:bookmarkStart w:id="422" w:name="_Toc297123545"/>
      <w:bookmarkStart w:id="423" w:name="_Toc292559913"/>
      <w:bookmarkStart w:id="424" w:name="_Toc297120503"/>
      <w:bookmarkStart w:id="425" w:name="_Toc292559408"/>
      <w:bookmarkStart w:id="426" w:name="_Toc296891243"/>
      <w:bookmarkStart w:id="427" w:name="_Toc297048389"/>
      <w:bookmarkStart w:id="428" w:name="_Toc296891031"/>
      <w:r>
        <w:rPr>
          <w:rFonts w:hint="eastAsia" w:ascii="宋体" w:hAnsi="宋体" w:eastAsia="宋体" w:cs="宋体"/>
          <w:color w:val="000000"/>
          <w:sz w:val="24"/>
          <w:szCs w:val="24"/>
          <w:highlight w:val="none"/>
        </w:rPr>
        <w:t>包人的合理化建议</w:t>
      </w:r>
    </w:p>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14:paraId="43279C9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监理人审查承包人合理化建议的期限：</w:t>
      </w:r>
      <w:r>
        <w:rPr>
          <w:rFonts w:hint="eastAsia" w:ascii="宋体" w:hAnsi="宋体" w:eastAsia="宋体" w:cs="宋体"/>
          <w:sz w:val="24"/>
          <w:szCs w:val="24"/>
          <w:highlight w:val="none"/>
          <w:u w:val="single"/>
        </w:rPr>
        <w:t xml:space="preserve">收到承包人提交的合理化建议后7日内 </w:t>
      </w:r>
      <w:r>
        <w:rPr>
          <w:rFonts w:hint="eastAsia" w:ascii="宋体" w:hAnsi="宋体" w:eastAsia="宋体" w:cs="宋体"/>
          <w:sz w:val="24"/>
          <w:szCs w:val="24"/>
          <w:highlight w:val="none"/>
        </w:rPr>
        <w:t>。</w:t>
      </w:r>
    </w:p>
    <w:p w14:paraId="58BCE71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发包人审批承包人合理化建议的期限：</w:t>
      </w:r>
      <w:r>
        <w:rPr>
          <w:rFonts w:hint="eastAsia" w:ascii="宋体" w:hAnsi="宋体" w:eastAsia="宋体" w:cs="宋体"/>
          <w:sz w:val="24"/>
          <w:szCs w:val="24"/>
          <w:highlight w:val="none"/>
          <w:u w:val="single"/>
        </w:rPr>
        <w:t xml:space="preserve">收到监理人报送的合理化建议后7日内 </w:t>
      </w:r>
      <w:r>
        <w:rPr>
          <w:rFonts w:hint="eastAsia" w:ascii="宋体" w:hAnsi="宋体" w:eastAsia="宋体" w:cs="宋体"/>
          <w:sz w:val="24"/>
          <w:szCs w:val="24"/>
          <w:highlight w:val="none"/>
        </w:rPr>
        <w:t>。</w:t>
      </w:r>
    </w:p>
    <w:p w14:paraId="2EFF340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w:t>
      </w:r>
      <w:bookmarkStart w:id="429" w:name="_Toc296944543"/>
      <w:bookmarkStart w:id="430" w:name="_Toc296347203"/>
      <w:bookmarkStart w:id="431" w:name="_Toc318581175"/>
      <w:bookmarkStart w:id="432" w:name="_Toc292559409"/>
      <w:bookmarkStart w:id="433" w:name="_Toc300934995"/>
      <w:bookmarkStart w:id="434" w:name="_Toc304295571"/>
      <w:bookmarkStart w:id="435" w:name="_Toc297120504"/>
      <w:bookmarkStart w:id="436" w:name="_Toc296891032"/>
      <w:bookmarkStart w:id="437" w:name="_Toc303539152"/>
      <w:bookmarkStart w:id="438" w:name="_Toc297216205"/>
      <w:bookmarkStart w:id="439" w:name="_Toc292559914"/>
      <w:bookmarkStart w:id="440" w:name="_Toc296503204"/>
      <w:bookmarkStart w:id="441" w:name="_Toc296891244"/>
      <w:bookmarkStart w:id="442" w:name="_Toc312678030"/>
      <w:bookmarkStart w:id="443" w:name="_Toc296346705"/>
      <w:bookmarkStart w:id="444" w:name="_Toc297048390"/>
      <w:bookmarkStart w:id="445" w:name="_Toc312677504"/>
      <w:bookmarkStart w:id="446" w:name="_Toc297123546"/>
      <w:r>
        <w:rPr>
          <w:rFonts w:hint="eastAsia" w:ascii="宋体" w:hAnsi="宋体" w:eastAsia="宋体" w:cs="宋体"/>
          <w:sz w:val="24"/>
          <w:szCs w:val="24"/>
          <w:highlight w:val="none"/>
        </w:rPr>
        <w:t>包人提出的合理化建议降低了合同价格或者提高了工程经济效益的奖励的方法和金额为：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无 </w:t>
      </w:r>
      <w:r>
        <w:rPr>
          <w:rFonts w:hint="eastAsia" w:ascii="宋体" w:hAnsi="宋体" w:eastAsia="宋体" w:cs="宋体"/>
          <w:sz w:val="24"/>
          <w:szCs w:val="24"/>
          <w:highlight w:val="none"/>
        </w:rPr>
        <w:t>。</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14:paraId="75BD1BDA">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447" w:name="_Toc6838"/>
      <w:bookmarkStart w:id="448" w:name="_Toc4708"/>
      <w:bookmarkStart w:id="449" w:name="_Toc28012"/>
      <w:r>
        <w:rPr>
          <w:rFonts w:hint="eastAsia" w:ascii="宋体" w:hAnsi="宋体" w:eastAsia="宋体" w:cs="宋体"/>
          <w:color w:val="000000"/>
          <w:sz w:val="24"/>
          <w:szCs w:val="24"/>
          <w:highlight w:val="none"/>
        </w:rPr>
        <w:t>1</w:t>
      </w:r>
      <w:bookmarkStart w:id="450" w:name="_Toc296503199"/>
      <w:bookmarkStart w:id="451" w:name="_Toc297048385"/>
      <w:bookmarkStart w:id="452" w:name="_Toc296346700"/>
      <w:bookmarkStart w:id="453" w:name="_Toc296891239"/>
      <w:bookmarkStart w:id="454" w:name="_Toc296891027"/>
      <w:bookmarkStart w:id="455" w:name="_Toc296944538"/>
      <w:bookmarkStart w:id="456" w:name="_Toc297123548"/>
      <w:bookmarkStart w:id="457" w:name="_Toc312678033"/>
      <w:bookmarkStart w:id="458" w:name="_Toc303539154"/>
      <w:bookmarkStart w:id="459" w:name="_Toc304295574"/>
      <w:bookmarkStart w:id="460" w:name="_Toc297120499"/>
      <w:bookmarkStart w:id="461" w:name="_Toc292559404"/>
      <w:bookmarkStart w:id="462" w:name="_Toc312677507"/>
      <w:bookmarkStart w:id="463" w:name="_Toc297216207"/>
      <w:bookmarkStart w:id="464" w:name="_Toc292559909"/>
      <w:bookmarkStart w:id="465" w:name="_Toc296347198"/>
      <w:bookmarkStart w:id="466" w:name="_Toc300934997"/>
      <w:r>
        <w:rPr>
          <w:rFonts w:hint="eastAsia" w:ascii="宋体" w:hAnsi="宋体" w:eastAsia="宋体" w:cs="宋体"/>
          <w:color w:val="000000"/>
          <w:sz w:val="24"/>
          <w:szCs w:val="24"/>
          <w:highlight w:val="none"/>
        </w:rPr>
        <w:t>0.7 暂估价</w:t>
      </w:r>
      <w:bookmarkEnd w:id="447"/>
      <w:bookmarkEnd w:id="448"/>
      <w:bookmarkEnd w:id="449"/>
    </w:p>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14:paraId="47C69B3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暂</w:t>
      </w:r>
      <w:bookmarkStart w:id="467" w:name="_Toc312677508"/>
      <w:bookmarkStart w:id="468" w:name="_Toc318581176"/>
      <w:bookmarkStart w:id="469" w:name="_Toc312678034"/>
      <w:r>
        <w:rPr>
          <w:rFonts w:hint="eastAsia" w:ascii="宋体" w:hAnsi="宋体" w:eastAsia="宋体" w:cs="宋体"/>
          <w:kern w:val="0"/>
          <w:sz w:val="24"/>
          <w:szCs w:val="24"/>
          <w:highlight w:val="none"/>
        </w:rPr>
        <w:t>估价材料和工程设备的明细详见附件11：《</w:t>
      </w:r>
      <w:r>
        <w:rPr>
          <w:rFonts w:hint="eastAsia" w:ascii="宋体" w:hAnsi="宋体" w:eastAsia="宋体" w:cs="宋体"/>
          <w:color w:val="000000"/>
          <w:sz w:val="24"/>
          <w:szCs w:val="24"/>
          <w:highlight w:val="none"/>
        </w:rPr>
        <w:t>暂估价一览表》</w:t>
      </w:r>
      <w:r>
        <w:rPr>
          <w:rFonts w:hint="eastAsia" w:ascii="宋体" w:hAnsi="宋体" w:eastAsia="宋体" w:cs="宋体"/>
          <w:kern w:val="0"/>
          <w:sz w:val="24"/>
          <w:szCs w:val="24"/>
          <w:highlight w:val="none"/>
        </w:rPr>
        <w:t>。</w:t>
      </w:r>
    </w:p>
    <w:bookmarkEnd w:id="467"/>
    <w:bookmarkEnd w:id="468"/>
    <w:bookmarkEnd w:id="469"/>
    <w:p w14:paraId="1A0EBAF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w:t>
      </w:r>
      <w:bookmarkStart w:id="470" w:name="_Toc312677509"/>
      <w:bookmarkStart w:id="471" w:name="_Toc312678035"/>
      <w:bookmarkStart w:id="472" w:name="_Toc318581177"/>
      <w:r>
        <w:rPr>
          <w:rFonts w:hint="eastAsia" w:ascii="宋体" w:hAnsi="宋体" w:eastAsia="宋体" w:cs="宋体"/>
          <w:sz w:val="24"/>
          <w:szCs w:val="24"/>
          <w:highlight w:val="none"/>
        </w:rPr>
        <w:t>0.7.1 依法必须招标的暂估价项目</w:t>
      </w:r>
    </w:p>
    <w:bookmarkEnd w:id="470"/>
    <w:bookmarkEnd w:id="471"/>
    <w:bookmarkEnd w:id="472"/>
    <w:p w14:paraId="674375E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对于依法必须招标的暂估价项目的确认和批准采取第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种方式确定。</w:t>
      </w:r>
    </w:p>
    <w:p w14:paraId="6AFD314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10.7.2 不属于依法必须招标的暂估价项目</w:t>
      </w:r>
    </w:p>
    <w:p w14:paraId="08F6127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对于不属于依法必须招标的暂估价项目的确认和批准采取第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种方式确定。</w:t>
      </w:r>
    </w:p>
    <w:p w14:paraId="303AAEB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第3种方式：</w:t>
      </w:r>
      <w:r>
        <w:rPr>
          <w:rFonts w:hint="eastAsia" w:ascii="宋体" w:hAnsi="宋体" w:eastAsia="宋体" w:cs="宋体"/>
          <w:color w:val="000000"/>
          <w:kern w:val="0"/>
          <w:sz w:val="24"/>
          <w:szCs w:val="24"/>
          <w:highlight w:val="none"/>
        </w:rPr>
        <w:t>承包人直接实施的暂估价项目</w:t>
      </w:r>
    </w:p>
    <w:p w14:paraId="6E15DB1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承包人直接实施的暂估价项目的约定：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5151F1E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10.8 暂列金额</w:t>
      </w:r>
    </w:p>
    <w:p w14:paraId="765B1A5B">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合同当事人关于暂列金额使用的约定：</w:t>
      </w:r>
      <w:r>
        <w:rPr>
          <w:rFonts w:hint="eastAsia" w:ascii="宋体" w:hAnsi="宋体" w:eastAsia="宋体" w:cs="宋体"/>
          <w:sz w:val="24"/>
          <w:szCs w:val="24"/>
          <w:highlight w:val="none"/>
          <w:u w:val="single"/>
        </w:rPr>
        <w:t xml:space="preserve">      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rPr>
        <w:t>。</w:t>
      </w:r>
    </w:p>
    <w:p w14:paraId="02A028A5">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473" w:name="_Toc351203643"/>
      <w:r>
        <w:rPr>
          <w:rFonts w:hint="eastAsia" w:ascii="宋体" w:hAnsi="宋体" w:eastAsia="宋体" w:cs="宋体"/>
          <w:b w:val="0"/>
          <w:bCs w:val="0"/>
          <w:color w:val="000000"/>
          <w:sz w:val="24"/>
          <w:szCs w:val="24"/>
          <w:highlight w:val="none"/>
        </w:rPr>
        <w:t>11. 价格调整</w:t>
      </w:r>
      <w:bookmarkEnd w:id="473"/>
    </w:p>
    <w:p w14:paraId="06075B7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474" w:name="_Toc297123550"/>
      <w:bookmarkStart w:id="475" w:name="_Toc297120501"/>
      <w:bookmarkStart w:id="476" w:name="_Toc296347200"/>
      <w:bookmarkStart w:id="477" w:name="_Toc303539157"/>
      <w:bookmarkStart w:id="478" w:name="_Toc312678039"/>
      <w:bookmarkStart w:id="479" w:name="_Toc292559911"/>
      <w:bookmarkStart w:id="480" w:name="_Toc296346702"/>
      <w:bookmarkStart w:id="481" w:name="_Toc292559406"/>
      <w:bookmarkStart w:id="482" w:name="_Toc296891029"/>
      <w:bookmarkStart w:id="483" w:name="_Toc300935000"/>
      <w:bookmarkStart w:id="484" w:name="_Toc297216209"/>
      <w:bookmarkStart w:id="485" w:name="_Toc296944540"/>
      <w:bookmarkStart w:id="486" w:name="_Toc297048387"/>
      <w:bookmarkStart w:id="487" w:name="_Toc296891241"/>
      <w:bookmarkStart w:id="488" w:name="_Toc296503201"/>
      <w:bookmarkStart w:id="489" w:name="_Toc304295577"/>
      <w:r>
        <w:rPr>
          <w:rFonts w:hint="eastAsia" w:ascii="宋体" w:hAnsi="宋体" w:eastAsia="宋体" w:cs="宋体"/>
          <w:color w:val="000000"/>
          <w:sz w:val="24"/>
          <w:szCs w:val="24"/>
          <w:highlight w:val="none"/>
        </w:rPr>
        <w:t>11.1 市场价格波动引起的调整</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14:paraId="718066E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市场价格波动是否调整合同价格的约定：</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执行专用条款</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7470F3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因市场价格波动调整合同价格，采用以下第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种方式对合同价格进行调整：</w:t>
      </w:r>
    </w:p>
    <w:p w14:paraId="336EE94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第1种方式：采用价格指数进行价格调整。</w:t>
      </w:r>
    </w:p>
    <w:p w14:paraId="511446E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关于各可调因子、定值和变值权重，以及基本价格指数及其来源的约定：</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p>
    <w:p w14:paraId="4B00A8D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第2种方式：采用造价信息进行价格调整。</w:t>
      </w:r>
    </w:p>
    <w:p w14:paraId="321411F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（2）关于基准价格的约定：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72E2B1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专用合同条款①承包人在已标价工程量清单或预算书中载明的材料单价低于基准价格的：专用合同条款合同履行期间材料单价涨幅以基准价格为基础超过%时，或材料单价跌幅以已标价工程量清单或预算书中载明材料单价为基础超过%时，其超过部分据实调整。</w:t>
      </w:r>
    </w:p>
    <w:p w14:paraId="7F1DA39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②承包人在已标价工程量清单或预算书中载明的材料单价高于基准价格的：专用合同条款合同履行期间材料单价跌幅以基准价格为基础超过%时，材料单价涨幅以已标价工程量清单或预算书中载明材料单价为基础超过%时，其超过部分据实调整。</w:t>
      </w:r>
    </w:p>
    <w:p w14:paraId="0C3C24FE">
      <w:pPr>
        <w:pageBreakBefore w:val="0"/>
        <w:kinsoku/>
        <w:wordWrap/>
        <w:overflowPunct/>
        <w:topLinePunct w:val="0"/>
        <w:bidi w:val="0"/>
        <w:spacing w:line="360" w:lineRule="auto"/>
        <w:ind w:firstLine="645"/>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%时，其超过部分据实调整。</w:t>
      </w:r>
    </w:p>
    <w:p w14:paraId="57939AF9">
      <w:pPr>
        <w:pageBreakBefore w:val="0"/>
        <w:kinsoku/>
        <w:wordWrap/>
        <w:overflowPunct/>
        <w:topLinePunct w:val="0"/>
        <w:bidi w:val="0"/>
        <w:spacing w:line="360" w:lineRule="auto"/>
        <w:ind w:firstLine="645"/>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第3种方式：其他价格调整方式：</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371"/>
    <w:bookmarkEnd w:id="372"/>
    <w:bookmarkEnd w:id="373"/>
    <w:bookmarkEnd w:id="374"/>
    <w:bookmarkEnd w:id="375"/>
    <w:bookmarkEnd w:id="376"/>
    <w:p w14:paraId="4EBF5650">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490" w:name="_Toc292559915"/>
      <w:bookmarkStart w:id="491" w:name="_Toc297120505"/>
      <w:bookmarkStart w:id="492" w:name="_Toc297048391"/>
      <w:bookmarkStart w:id="493" w:name="_Toc296944544"/>
      <w:bookmarkStart w:id="494" w:name="_Toc292559410"/>
      <w:bookmarkStart w:id="495" w:name="_Toc296503205"/>
      <w:bookmarkStart w:id="496" w:name="_Toc296346706"/>
      <w:bookmarkStart w:id="497" w:name="_Toc296891033"/>
      <w:bookmarkStart w:id="498" w:name="_Toc296347204"/>
      <w:bookmarkStart w:id="499" w:name="_Toc296891245"/>
      <w:bookmarkStart w:id="500" w:name="_Toc351203644"/>
      <w:bookmarkStart w:id="501" w:name="_Toc300935002"/>
      <w:bookmarkStart w:id="502" w:name="_Toc297216211"/>
      <w:bookmarkStart w:id="503" w:name="_Toc312678040"/>
      <w:bookmarkStart w:id="504" w:name="_Toc304295579"/>
      <w:bookmarkStart w:id="505" w:name="_Toc297123552"/>
      <w:bookmarkStart w:id="506" w:name="_Toc303539159"/>
      <w:r>
        <w:rPr>
          <w:rFonts w:hint="eastAsia" w:ascii="宋体" w:hAnsi="宋体" w:eastAsia="宋体" w:cs="宋体"/>
          <w:b w:val="0"/>
          <w:color w:val="000000"/>
          <w:sz w:val="24"/>
          <w:szCs w:val="24"/>
          <w:highlight w:val="none"/>
        </w:rPr>
        <w:t xml:space="preserve">12. </w:t>
      </w:r>
      <w:bookmarkEnd w:id="490"/>
      <w:bookmarkEnd w:id="491"/>
      <w:bookmarkEnd w:id="492"/>
      <w:bookmarkEnd w:id="493"/>
      <w:bookmarkEnd w:id="494"/>
      <w:bookmarkEnd w:id="495"/>
      <w:bookmarkEnd w:id="496"/>
      <w:bookmarkEnd w:id="497"/>
      <w:bookmarkEnd w:id="498"/>
      <w:bookmarkEnd w:id="499"/>
      <w:r>
        <w:rPr>
          <w:rFonts w:hint="eastAsia" w:ascii="宋体" w:hAnsi="宋体" w:eastAsia="宋体" w:cs="宋体"/>
          <w:b w:val="0"/>
          <w:color w:val="000000"/>
          <w:sz w:val="24"/>
          <w:szCs w:val="24"/>
          <w:highlight w:val="none"/>
        </w:rPr>
        <w:t>合同价格、计量与支付</w:t>
      </w:r>
      <w:bookmarkEnd w:id="500"/>
    </w:p>
    <w:bookmarkEnd w:id="501"/>
    <w:bookmarkEnd w:id="502"/>
    <w:bookmarkEnd w:id="503"/>
    <w:bookmarkEnd w:id="504"/>
    <w:bookmarkEnd w:id="505"/>
    <w:bookmarkEnd w:id="506"/>
    <w:p w14:paraId="73AA0338">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507" w:name="_Toc267251461"/>
      <w:bookmarkStart w:id="508" w:name="_Toc292559411"/>
      <w:bookmarkStart w:id="509" w:name="_Toc292559916"/>
      <w:bookmarkStart w:id="510" w:name="_Toc296944545"/>
      <w:bookmarkStart w:id="511" w:name="_Toc296503206"/>
      <w:bookmarkStart w:id="512" w:name="_Toc296347205"/>
      <w:bookmarkStart w:id="513" w:name="_Toc296891034"/>
      <w:bookmarkStart w:id="514" w:name="_Toc297120506"/>
      <w:bookmarkStart w:id="515" w:name="_Toc296891246"/>
      <w:bookmarkStart w:id="516" w:name="_Toc296346707"/>
      <w:bookmarkStart w:id="517" w:name="_Toc297048392"/>
      <w:bookmarkStart w:id="518" w:name="_Toc303539160"/>
      <w:bookmarkStart w:id="519" w:name="_Toc297123553"/>
      <w:bookmarkStart w:id="520" w:name="_Toc297216212"/>
      <w:bookmarkStart w:id="521" w:name="_Toc304295580"/>
      <w:bookmarkStart w:id="522" w:name="_Toc312678041"/>
      <w:bookmarkStart w:id="523" w:name="_Toc300935003"/>
      <w:r>
        <w:rPr>
          <w:rFonts w:hint="eastAsia" w:ascii="宋体" w:hAnsi="宋体" w:eastAsia="宋体" w:cs="宋体"/>
          <w:color w:val="000000"/>
          <w:sz w:val="24"/>
          <w:szCs w:val="24"/>
          <w:highlight w:val="none"/>
        </w:rPr>
        <w:t>12.1 合</w:t>
      </w:r>
      <w:bookmarkEnd w:id="507"/>
      <w:bookmarkEnd w:id="508"/>
      <w:bookmarkEnd w:id="509"/>
      <w:r>
        <w:rPr>
          <w:rFonts w:hint="eastAsia" w:ascii="宋体" w:hAnsi="宋体" w:eastAsia="宋体" w:cs="宋体"/>
          <w:color w:val="000000"/>
          <w:sz w:val="24"/>
          <w:szCs w:val="24"/>
          <w:highlight w:val="none"/>
        </w:rPr>
        <w:t>同价</w:t>
      </w:r>
      <w:bookmarkEnd w:id="510"/>
      <w:bookmarkEnd w:id="511"/>
      <w:bookmarkEnd w:id="512"/>
      <w:bookmarkEnd w:id="513"/>
      <w:bookmarkEnd w:id="514"/>
      <w:bookmarkEnd w:id="515"/>
      <w:bookmarkEnd w:id="516"/>
      <w:bookmarkEnd w:id="517"/>
      <w:r>
        <w:rPr>
          <w:rFonts w:hint="eastAsia" w:ascii="宋体" w:hAnsi="宋体" w:eastAsia="宋体" w:cs="宋体"/>
          <w:color w:val="000000"/>
          <w:sz w:val="24"/>
          <w:szCs w:val="24"/>
          <w:highlight w:val="none"/>
        </w:rPr>
        <w:t>格形式</w:t>
      </w:r>
    </w:p>
    <w:bookmarkEnd w:id="518"/>
    <w:bookmarkEnd w:id="519"/>
    <w:bookmarkEnd w:id="520"/>
    <w:bookmarkEnd w:id="521"/>
    <w:bookmarkEnd w:id="522"/>
    <w:bookmarkEnd w:id="523"/>
    <w:p w14:paraId="22ECC85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w:t>
      </w:r>
    </w:p>
    <w:p w14:paraId="00C69453">
      <w:pPr>
        <w:pageBreakBefore w:val="0"/>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综合单价包含的风险范围：</w:t>
      </w:r>
      <w:r>
        <w:rPr>
          <w:rFonts w:hint="eastAsia" w:ascii="宋体" w:hAnsi="宋体" w:eastAsia="宋体" w:cs="宋体"/>
          <w:color w:val="000000"/>
          <w:sz w:val="24"/>
          <w:szCs w:val="24"/>
          <w:highlight w:val="none"/>
          <w:u w:val="single"/>
        </w:rPr>
        <w:t>本工程报价采用固定单价，固定单价为综合单价（综合单价包括人工费、材料费、机械费、管理费、利润、风险费用）。投标人在投标报价时应根据招标文件要求并踏勘施工现场，在投标报价时应充分考虑施工期间各类人工、材料、机械的市场风险计入单价报价，结算时综合单价不再调整。施工期间人工费、材料费及机械费等的政策性调整风险计入投标报价,工程结算时不再调整。双方约定合同价款的其他调整因素：安全文明施工措施费按规定执行，未经核定，不得计取。</w:t>
      </w:r>
      <w:r>
        <w:rPr>
          <w:rFonts w:hint="eastAsia" w:ascii="宋体" w:hAnsi="宋体" w:eastAsia="宋体" w:cs="宋体"/>
          <w:sz w:val="24"/>
          <w:szCs w:val="24"/>
          <w:highlight w:val="none"/>
          <w:u w:val="single"/>
        </w:rPr>
        <w:t>除非合同中另有规定，投标人在报价中所报的单价和合价，以及投标报价汇总表中的价格均包括完成该工程项目的成本、管理费、利润、规费、税金、安全文明费用、开办费、各项技术措施费、大型机械进退场费、各种风险费、政策性文件规定费用等等所有费用。</w:t>
      </w:r>
    </w:p>
    <w:p w14:paraId="79A0B97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风险费用的计算方法：</w:t>
      </w:r>
      <w:r>
        <w:rPr>
          <w:rFonts w:hint="eastAsia" w:ascii="宋体" w:hAnsi="宋体" w:eastAsia="宋体" w:cs="宋体"/>
          <w:b/>
          <w:sz w:val="24"/>
          <w:szCs w:val="24"/>
          <w:highlight w:val="none"/>
          <w:u w:val="single"/>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w:t>
      </w:r>
    </w:p>
    <w:p w14:paraId="2798B28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风险范围以外合同价格的调整方法：</w:t>
      </w:r>
      <w:r>
        <w:rPr>
          <w:rFonts w:hint="eastAsia" w:ascii="宋体" w:hAnsi="宋体" w:eastAsia="宋体" w:cs="宋体"/>
          <w:b/>
          <w:sz w:val="24"/>
          <w:szCs w:val="24"/>
          <w:highlight w:val="none"/>
          <w:u w:val="single"/>
        </w:rPr>
        <w:t xml:space="preserve">        /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w:t>
      </w:r>
    </w:p>
    <w:p w14:paraId="3615DFEC">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524" w:name="_Toc297123554"/>
      <w:bookmarkStart w:id="525" w:name="_Toc304295581"/>
      <w:bookmarkStart w:id="526" w:name="_Toc300935004"/>
      <w:bookmarkStart w:id="527" w:name="_Toc312678042"/>
      <w:bookmarkStart w:id="528" w:name="_Toc303539161"/>
      <w:bookmarkStart w:id="529" w:name="_Toc297216213"/>
      <w:bookmarkStart w:id="530" w:name="_Toc296503207"/>
      <w:bookmarkStart w:id="531" w:name="_Toc292559412"/>
      <w:bookmarkStart w:id="532" w:name="_Toc296891247"/>
      <w:bookmarkStart w:id="533" w:name="_Toc292559917"/>
      <w:bookmarkStart w:id="534" w:name="_Toc296346708"/>
      <w:bookmarkStart w:id="535" w:name="_Toc296347206"/>
      <w:bookmarkStart w:id="536" w:name="_Toc297048393"/>
      <w:bookmarkStart w:id="537" w:name="_Toc297120507"/>
      <w:bookmarkStart w:id="538" w:name="_Toc296891035"/>
      <w:bookmarkStart w:id="539" w:name="_Toc296944546"/>
      <w:r>
        <w:rPr>
          <w:rFonts w:hint="eastAsia" w:ascii="宋体" w:hAnsi="宋体" w:eastAsia="宋体" w:cs="宋体"/>
          <w:color w:val="000000"/>
          <w:sz w:val="24"/>
          <w:szCs w:val="24"/>
          <w:highlight w:val="none"/>
        </w:rPr>
        <w:t>12.2 预付款</w:t>
      </w:r>
    </w:p>
    <w:bookmarkEnd w:id="524"/>
    <w:bookmarkEnd w:id="525"/>
    <w:bookmarkEnd w:id="526"/>
    <w:bookmarkEnd w:id="527"/>
    <w:bookmarkEnd w:id="528"/>
    <w:bookmarkEnd w:id="529"/>
    <w:p w14:paraId="0614A5B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12.2.1 预付款的支付</w:t>
      </w:r>
    </w:p>
    <w:p w14:paraId="6617369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预付款支付比例或金额：</w:t>
      </w:r>
      <w:r>
        <w:rPr>
          <w:rFonts w:hint="eastAsia" w:ascii="Times New Roman" w:hAnsi="宋体" w:cs="Times New Roman"/>
          <w:sz w:val="24"/>
          <w:szCs w:val="24"/>
          <w:highlight w:val="none"/>
          <w:u w:val="single"/>
          <w:lang w:val="en-US" w:eastAsia="zh-CN"/>
        </w:rPr>
        <w:t xml:space="preserve">                   。</w:t>
      </w:r>
    </w:p>
    <w:p w14:paraId="061E6BB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预付款支付期限：</w:t>
      </w:r>
      <w:r>
        <w:rPr>
          <w:rFonts w:hint="eastAsia" w:ascii="宋体" w:hAnsi="宋体" w:eastAsia="宋体" w:cs="宋体"/>
          <w:color w:val="000000"/>
          <w:sz w:val="24"/>
          <w:szCs w:val="24"/>
          <w:highlight w:val="none"/>
          <w:u w:val="single"/>
        </w:rPr>
        <w:t xml:space="preserve"> </w:t>
      </w:r>
      <w:r>
        <w:rPr>
          <w:rFonts w:hint="eastAsia" w:ascii="Times New Roman" w:hAnsi="宋体" w:cs="Times New Roman"/>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62E6F42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预付款扣回的方式：</w:t>
      </w:r>
      <w:r>
        <w:rPr>
          <w:rFonts w:hint="eastAsia" w:ascii="宋体" w:hAnsi="宋体" w:eastAsia="宋体" w:cs="宋体"/>
          <w:color w:val="000000"/>
          <w:sz w:val="24"/>
          <w:szCs w:val="24"/>
          <w:highlight w:val="none"/>
          <w:u w:val="single"/>
        </w:rPr>
        <w:t xml:space="preserve"> </w:t>
      </w:r>
      <w:r>
        <w:rPr>
          <w:rFonts w:hint="eastAsia" w:ascii="Times New Roman" w:hAnsi="宋体" w:cs="Times New Roman"/>
          <w:sz w:val="24"/>
          <w:szCs w:val="24"/>
          <w:highlight w:val="none"/>
          <w:u w:val="single"/>
          <w:lang w:val="en-US" w:eastAsia="zh-CN"/>
        </w:rPr>
        <w:t xml:space="preserve">                       </w:t>
      </w:r>
      <w:r>
        <w:rPr>
          <w:rFonts w:hint="eastAsia" w:ascii="宋体" w:hAnsi="宋体" w:eastAsia="宋体" w:cs="宋体"/>
          <w:color w:val="000000"/>
          <w:sz w:val="24"/>
          <w:szCs w:val="24"/>
          <w:highlight w:val="none"/>
        </w:rPr>
        <w:t>。</w:t>
      </w:r>
    </w:p>
    <w:p w14:paraId="4293846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12.2.2 预付款担保</w:t>
      </w:r>
    </w:p>
    <w:p w14:paraId="4584C51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承包人提交预付款担保的期限：</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4233FE1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预付款担保的形式为：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bookmarkEnd w:id="530"/>
    <w:bookmarkEnd w:id="531"/>
    <w:bookmarkEnd w:id="532"/>
    <w:bookmarkEnd w:id="533"/>
    <w:bookmarkEnd w:id="534"/>
    <w:bookmarkEnd w:id="535"/>
    <w:bookmarkEnd w:id="536"/>
    <w:bookmarkEnd w:id="537"/>
    <w:bookmarkEnd w:id="538"/>
    <w:bookmarkEnd w:id="539"/>
    <w:p w14:paraId="338A1107">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 计量</w:t>
      </w:r>
    </w:p>
    <w:p w14:paraId="221EE47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12.3.1 计量原则</w:t>
      </w:r>
    </w:p>
    <w:p w14:paraId="38E2593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工程量计算规则：</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执行通用条款</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23EA427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12.3.2 计量周期</w:t>
      </w:r>
    </w:p>
    <w:p w14:paraId="698D162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关于计量周期的约定：</w:t>
      </w:r>
      <w:r>
        <w:rPr>
          <w:rFonts w:hint="eastAsia" w:ascii="宋体" w:hAnsi="宋体" w:eastAsia="宋体" w:cs="宋体"/>
          <w:sz w:val="24"/>
          <w:szCs w:val="24"/>
          <w:highlight w:val="none"/>
          <w:u w:val="single"/>
        </w:rPr>
        <w:t>按进度节点计量</w:t>
      </w:r>
      <w:r>
        <w:rPr>
          <w:rFonts w:hint="eastAsia" w:ascii="宋体" w:hAnsi="宋体" w:eastAsia="宋体" w:cs="宋体"/>
          <w:sz w:val="24"/>
          <w:szCs w:val="24"/>
          <w:highlight w:val="none"/>
        </w:rPr>
        <w:t>。</w:t>
      </w:r>
    </w:p>
    <w:p w14:paraId="0283A6C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12.3.3 单价合同的计量</w:t>
      </w:r>
    </w:p>
    <w:p w14:paraId="6B1B17A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关于单价合同计量的约定：</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执行通用条款</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0C0FC54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12.3.4 总价合同的计量</w:t>
      </w:r>
    </w:p>
    <w:p w14:paraId="2F2E3A6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关于总价合同计量的约定：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1DC958D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12.3.5总价合同采用支付分解表计量支付的，是否适用第</w:t>
      </w:r>
      <w:r>
        <w:rPr>
          <w:rFonts w:hint="eastAsia" w:ascii="宋体" w:hAnsi="宋体" w:eastAsia="宋体" w:cs="宋体"/>
          <w:color w:val="000000"/>
          <w:kern w:val="0"/>
          <w:sz w:val="24"/>
          <w:szCs w:val="24"/>
          <w:highlight w:val="none"/>
        </w:rPr>
        <w:t xml:space="preserve">12.3.4 </w:t>
      </w:r>
      <w:r>
        <w:rPr>
          <w:rFonts w:hint="eastAsia" w:ascii="宋体" w:hAnsi="宋体" w:eastAsia="宋体" w:cs="宋体"/>
          <w:color w:val="000000"/>
          <w:sz w:val="24"/>
          <w:szCs w:val="24"/>
          <w:highlight w:val="none"/>
        </w:rPr>
        <w:t>项</w:t>
      </w:r>
      <w:r>
        <w:rPr>
          <w:rFonts w:hint="eastAsia" w:ascii="宋体" w:hAnsi="宋体" w:eastAsia="宋体" w:cs="宋体"/>
          <w:color w:val="000000"/>
          <w:kern w:val="0"/>
          <w:sz w:val="24"/>
          <w:szCs w:val="24"/>
          <w:highlight w:val="none"/>
        </w:rPr>
        <w:t>〔总价合同的计量〕</w:t>
      </w:r>
      <w:r>
        <w:rPr>
          <w:rFonts w:hint="eastAsia" w:ascii="宋体" w:hAnsi="宋体" w:eastAsia="宋体" w:cs="宋体"/>
          <w:color w:val="000000"/>
          <w:sz w:val="24"/>
          <w:szCs w:val="24"/>
          <w:highlight w:val="none"/>
        </w:rPr>
        <w:t>约定进行计量：</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0E7B43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12.3.6 其他价格形式合同的计量</w:t>
      </w:r>
    </w:p>
    <w:p w14:paraId="02DDDA2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其他价格形式的计量方式和程序：</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539C9B2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 工程进度款支付</w:t>
      </w:r>
    </w:p>
    <w:p w14:paraId="05C719E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540" w:name="_Toc296891251"/>
      <w:bookmarkStart w:id="541" w:name="_Toc292559921"/>
      <w:bookmarkStart w:id="542" w:name="_Toc296503211"/>
      <w:bookmarkStart w:id="543" w:name="_Toc296346712"/>
      <w:bookmarkStart w:id="544" w:name="_Toc296944550"/>
      <w:bookmarkStart w:id="545" w:name="_Toc300935006"/>
      <w:bookmarkStart w:id="546" w:name="_Toc292559416"/>
      <w:bookmarkStart w:id="547" w:name="_Toc297216215"/>
      <w:bookmarkStart w:id="548" w:name="_Toc297048397"/>
      <w:bookmarkStart w:id="549" w:name="_Toc303539163"/>
      <w:bookmarkStart w:id="550" w:name="_Toc296347210"/>
      <w:bookmarkStart w:id="551" w:name="_Toc297120511"/>
      <w:bookmarkStart w:id="552" w:name="_Toc296891039"/>
      <w:bookmarkStart w:id="553" w:name="_Toc297123556"/>
      <w:r>
        <w:rPr>
          <w:rFonts w:hint="eastAsia" w:ascii="宋体" w:hAnsi="宋体" w:eastAsia="宋体" w:cs="宋体"/>
          <w:color w:val="000000"/>
          <w:sz w:val="24"/>
          <w:szCs w:val="24"/>
          <w:highlight w:val="none"/>
        </w:rPr>
        <w:t>12.4.1 付款周期</w:t>
      </w:r>
    </w:p>
    <w:p w14:paraId="405FFE8A">
      <w:pPr>
        <w:pageBreakBefore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关于付款周期的约定：</w:t>
      </w:r>
    </w:p>
    <w:p w14:paraId="341112D9">
      <w:pPr>
        <w:pageBreakBefore w:val="0"/>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（1）合同签订后预付合同总金额的30%，工程进度达到50%时支付至合同金额的50%，项目竣工验收合格后支付至工程结算金额的97%，工程结算金额3%的作为质保金，待工程保修期结束，工程无质量问题后支付。。</w:t>
      </w:r>
    </w:p>
    <w:p w14:paraId="7E6F88B3">
      <w:pPr>
        <w:pageBreakBefore w:val="0"/>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（2）每次支付工程款前，承包人必须提供符合税法的正规发票，否则迟延付款的责任由承包人自行承担</w:t>
      </w:r>
      <w:r>
        <w:rPr>
          <w:rFonts w:hint="eastAsia" w:ascii="宋体" w:hAnsi="宋体" w:eastAsia="宋体" w:cs="宋体"/>
          <w:sz w:val="24"/>
          <w:szCs w:val="24"/>
          <w:highlight w:val="none"/>
          <w:u w:val="none"/>
        </w:rPr>
        <w:t>。</w:t>
      </w:r>
    </w:p>
    <w:p w14:paraId="5E5F6574">
      <w:pPr>
        <w:pStyle w:val="7"/>
        <w:pageBreakBefore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000000"/>
          <w:sz w:val="24"/>
          <w:szCs w:val="24"/>
          <w:highlight w:val="none"/>
          <w:u w:val="single"/>
          <w:lang w:eastAsia="zh-CN"/>
        </w:rPr>
      </w:pPr>
      <w:r>
        <w:rPr>
          <w:rFonts w:hint="eastAsia" w:ascii="宋体" w:hAnsi="宋体" w:eastAsia="宋体" w:cs="宋体"/>
          <w:sz w:val="24"/>
          <w:szCs w:val="24"/>
          <w:highlight w:val="none"/>
          <w:u w:val="single"/>
        </w:rPr>
        <w:t>注：承包人必须保证施工期间的民工工资发放，每次支付工程进度款时必须在上报已完工程量的报告中单列人工费，并办理已支付民工工资相关确认手续。若出现拖欠民工工资发包人有权从总工程进度款扣除拖欠的民工工资</w:t>
      </w:r>
      <w:r>
        <w:rPr>
          <w:rFonts w:hint="eastAsia" w:hAnsi="宋体" w:eastAsia="宋体" w:cs="宋体"/>
          <w:sz w:val="24"/>
          <w:szCs w:val="24"/>
          <w:highlight w:val="none"/>
          <w:u w:val="single"/>
          <w:lang w:eastAsia="zh-CN"/>
        </w:rPr>
        <w:t>，</w:t>
      </w:r>
      <w:r>
        <w:rPr>
          <w:rFonts w:hint="eastAsia" w:ascii="宋体" w:hAnsi="宋体" w:eastAsia="宋体" w:cs="宋体"/>
          <w:sz w:val="24"/>
          <w:szCs w:val="24"/>
          <w:highlight w:val="none"/>
          <w:u w:val="single"/>
        </w:rPr>
        <w:t>若因此给发包人造成各种损失，由承包人全部承担</w:t>
      </w:r>
      <w:r>
        <w:rPr>
          <w:rFonts w:hint="eastAsia" w:hAnsi="宋体" w:eastAsia="宋体" w:cs="宋体"/>
          <w:sz w:val="24"/>
          <w:szCs w:val="24"/>
          <w:highlight w:val="none"/>
          <w:u w:val="none"/>
          <w:lang w:eastAsia="zh-CN"/>
        </w:rPr>
        <w:t>。</w:t>
      </w:r>
    </w:p>
    <w:p w14:paraId="205B267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12.4.2 进度付款申请单的编制</w:t>
      </w:r>
    </w:p>
    <w:p w14:paraId="0F48BAB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关于进度付款申请单编制的约定：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651333B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Pr>
          <w:rFonts w:hint="eastAsia" w:ascii="宋体" w:hAnsi="宋体" w:eastAsia="宋体" w:cs="宋体"/>
          <w:color w:val="000000"/>
          <w:sz w:val="24"/>
          <w:szCs w:val="24"/>
          <w:highlight w:val="none"/>
        </w:rPr>
        <w:t>2.4.3 进度付款申请单的提交</w:t>
      </w:r>
    </w:p>
    <w:p w14:paraId="4599957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（1）单价合同进度付款申请单提交的约定：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按进度节点提交</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31038ED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（2）总价合同进度付款申请单提交的约定：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08AF873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（3）其他价格形式合同进度付款申请单提交的约定：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0058DB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12.4.4 进度款审核和支付</w:t>
      </w:r>
    </w:p>
    <w:p w14:paraId="0511FB3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（1）监理人审查并报送发包人的期限：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F3F1AD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发包人完成审批并签发进度款支付证书的期限：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4ADBB5F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（2）发包人支付进度款的期限：</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lang w:eastAsia="zh-CN"/>
        </w:rPr>
        <w:t>。</w:t>
      </w:r>
    </w:p>
    <w:p w14:paraId="62178506">
      <w:pPr>
        <w:pageBreakBefore w:val="0"/>
        <w:kinsoku/>
        <w:wordWrap/>
        <w:overflowPunct/>
        <w:topLinePunct w:val="0"/>
        <w:bidi w:val="0"/>
        <w:spacing w:line="360" w:lineRule="auto"/>
        <w:ind w:firstLine="600" w:firstLineChars="25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发包人逾期支付进度款的违约金的计算方式：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28288F00">
      <w:pPr>
        <w:pageBreakBefore w:val="0"/>
        <w:kinsoku/>
        <w:wordWrap/>
        <w:overflowPunct/>
        <w:topLinePunct w:val="0"/>
        <w:bidi w:val="0"/>
        <w:spacing w:line="360" w:lineRule="auto"/>
        <w:ind w:firstLine="600" w:firstLineChars="25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12.4.6 支付分解表的编制</w:t>
      </w:r>
    </w:p>
    <w:p w14:paraId="69B0E9C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2、总价合同支付分解表的编制与审批：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p w14:paraId="5993A61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3、单价合同的总价项目支付分解表的编制与审批：</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双方另行协商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377"/>
    <w:p w14:paraId="186BDB5C">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554" w:name="_Toc351203645"/>
      <w:bookmarkStart w:id="555" w:name="_Toc297120519"/>
      <w:bookmarkStart w:id="556" w:name="_Toc296944558"/>
      <w:bookmarkStart w:id="557" w:name="_Toc297216223"/>
      <w:bookmarkStart w:id="558" w:name="_Toc300935015"/>
      <w:bookmarkStart w:id="559" w:name="_Toc303539172"/>
      <w:bookmarkStart w:id="560" w:name="_Toc292559424"/>
      <w:bookmarkStart w:id="561" w:name="_Toc296346720"/>
      <w:bookmarkStart w:id="562" w:name="_Toc297048405"/>
      <w:bookmarkStart w:id="563" w:name="_Toc296891047"/>
      <w:bookmarkStart w:id="564" w:name="_Toc292559929"/>
      <w:bookmarkStart w:id="565" w:name="_Toc296347218"/>
      <w:bookmarkStart w:id="566" w:name="_Toc312678053"/>
      <w:bookmarkStart w:id="567" w:name="_Toc297123564"/>
      <w:bookmarkStart w:id="568" w:name="_Toc304295593"/>
      <w:bookmarkStart w:id="569" w:name="_Toc296891259"/>
      <w:bookmarkStart w:id="570" w:name="_Toc296503219"/>
      <w:r>
        <w:rPr>
          <w:rFonts w:hint="eastAsia" w:ascii="宋体" w:hAnsi="宋体" w:eastAsia="宋体" w:cs="宋体"/>
          <w:b w:val="0"/>
          <w:bCs w:val="0"/>
          <w:color w:val="000000"/>
          <w:sz w:val="24"/>
          <w:szCs w:val="24"/>
          <w:highlight w:val="none"/>
        </w:rPr>
        <w:t>13. 验收和工程试车</w:t>
      </w:r>
      <w:bookmarkEnd w:id="554"/>
    </w:p>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14:paraId="49FD823F">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 分部分项工程验收</w:t>
      </w:r>
    </w:p>
    <w:p w14:paraId="16F1053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13.1.2监理人不能按时进行验收时，应提前</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24</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小时提交书面延期要求。</w:t>
      </w:r>
    </w:p>
    <w:p w14:paraId="362665D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sz w:val="24"/>
          <w:szCs w:val="24"/>
          <w:highlight w:val="none"/>
        </w:rPr>
        <w:t>关于延期最长不得超过：</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48</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小时。</w:t>
      </w:r>
    </w:p>
    <w:p w14:paraId="735793B7">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571" w:name="_Toc297120523"/>
      <w:bookmarkStart w:id="572" w:name="_Toc292559428"/>
      <w:bookmarkStart w:id="573" w:name="_Toc312678056"/>
      <w:bookmarkStart w:id="574" w:name="_Toc300935016"/>
      <w:bookmarkStart w:id="575" w:name="_Toc297123565"/>
      <w:bookmarkStart w:id="576" w:name="_Toc292559933"/>
      <w:bookmarkStart w:id="577" w:name="_Toc297048409"/>
      <w:bookmarkStart w:id="578" w:name="_Toc297216224"/>
      <w:bookmarkStart w:id="579" w:name="_Toc296944562"/>
      <w:bookmarkStart w:id="580" w:name="_Toc296503223"/>
      <w:bookmarkStart w:id="581" w:name="_Toc296346724"/>
      <w:bookmarkStart w:id="582" w:name="_Toc304295596"/>
      <w:bookmarkStart w:id="583" w:name="_Toc303539173"/>
      <w:bookmarkStart w:id="584" w:name="_Toc296891051"/>
      <w:bookmarkStart w:id="585" w:name="_Toc296891263"/>
      <w:bookmarkStart w:id="586" w:name="_Toc296347222"/>
      <w:bookmarkStart w:id="587" w:name="_Toc267251476"/>
      <w:bookmarkStart w:id="588" w:name="_Toc267251470"/>
      <w:bookmarkStart w:id="589" w:name="_Toc267251471"/>
      <w:bookmarkStart w:id="590" w:name="_Toc267251474"/>
      <w:bookmarkStart w:id="591" w:name="_Toc267251472"/>
      <w:bookmarkStart w:id="592" w:name="_Toc267251473"/>
      <w:bookmarkStart w:id="593" w:name="_Toc267251475"/>
      <w:r>
        <w:rPr>
          <w:rFonts w:hint="eastAsia" w:ascii="宋体" w:hAnsi="宋体" w:eastAsia="宋体" w:cs="宋体"/>
          <w:color w:val="000000"/>
          <w:sz w:val="24"/>
          <w:szCs w:val="24"/>
          <w:highlight w:val="none"/>
        </w:rPr>
        <w:t>13.2 竣工验收</w:t>
      </w:r>
    </w:p>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14:paraId="492903E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594" w:name="_Toc280868704"/>
      <w:bookmarkStart w:id="595" w:name="_Toc280868705"/>
      <w:bookmarkStart w:id="596" w:name="_Toc280868706"/>
      <w:bookmarkStart w:id="597" w:name="_Toc280868707"/>
      <w:bookmarkStart w:id="598" w:name="_Toc280868708"/>
      <w:bookmarkStart w:id="599" w:name="_Toc280868709"/>
      <w:r>
        <w:rPr>
          <w:rFonts w:hint="eastAsia" w:ascii="宋体" w:hAnsi="宋体" w:eastAsia="宋体" w:cs="宋体"/>
          <w:color w:val="000000"/>
          <w:sz w:val="24"/>
          <w:szCs w:val="24"/>
          <w:highlight w:val="none"/>
        </w:rPr>
        <w:t>13.2.2竣工验收程序</w:t>
      </w:r>
    </w:p>
    <w:bookmarkEnd w:id="594"/>
    <w:p w14:paraId="62B2E35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关于竣工验收程序的约定：</w:t>
      </w:r>
      <w:r>
        <w:rPr>
          <w:rFonts w:hint="eastAsia" w:ascii="Times New Roman" w:hAnsi="宋体" w:cs="Times New Roman"/>
          <w:sz w:val="24"/>
          <w:szCs w:val="24"/>
          <w:u w:val="single"/>
          <w:lang w:val="en-US" w:eastAsia="zh-CN"/>
        </w:rPr>
        <w:t>除按照通用条款期限执行外，1）承包人竣工工程资料应通过监理人检查合格并由工程当地质监站认可，承包人方可向监理人报送竣工验收申请。</w:t>
      </w:r>
      <w:r>
        <w:rPr>
          <w:rFonts w:hint="default" w:ascii="Times New Roman" w:hAnsi="宋体" w:cs="Times New Roman"/>
          <w:sz w:val="24"/>
          <w:szCs w:val="24"/>
          <w:u w:val="single"/>
          <w:lang w:val="en-US" w:eastAsia="zh-CN"/>
        </w:rPr>
        <w:t>2</w:t>
      </w:r>
      <w:r>
        <w:rPr>
          <w:rFonts w:hint="eastAsia" w:ascii="Times New Roman" w:hAnsi="宋体" w:cs="Times New Roman"/>
          <w:sz w:val="24"/>
          <w:szCs w:val="24"/>
          <w:u w:val="single"/>
          <w:lang w:val="en-US" w:eastAsia="zh-CN"/>
        </w:rPr>
        <w:t>）发包人在收到经监理人审核的竣工验收申请报告后</w:t>
      </w:r>
      <w:r>
        <w:rPr>
          <w:rFonts w:hint="default" w:ascii="Times New Roman" w:hAnsi="宋体" w:cs="Times New Roman"/>
          <w:sz w:val="24"/>
          <w:szCs w:val="24"/>
          <w:u w:val="single"/>
          <w:lang w:val="en-US" w:eastAsia="zh-CN"/>
        </w:rPr>
        <w:t>56</w:t>
      </w:r>
      <w:r>
        <w:rPr>
          <w:rFonts w:hint="eastAsia" w:ascii="Times New Roman" w:hAnsi="宋体" w:cs="Times New Roman"/>
          <w:sz w:val="24"/>
          <w:szCs w:val="24"/>
          <w:u w:val="single"/>
          <w:lang w:val="en-US" w:eastAsia="zh-CN"/>
        </w:rPr>
        <w:t>天内完成审批并组织监理人、承包人、设计人等相关单位完成竣工验收。</w:t>
      </w:r>
      <w:r>
        <w:rPr>
          <w:rFonts w:hint="default" w:ascii="Times New Roman" w:hAnsi="宋体" w:cs="Times New Roman"/>
          <w:sz w:val="24"/>
          <w:szCs w:val="24"/>
          <w:u w:val="single"/>
          <w:lang w:val="en-US" w:eastAsia="zh-CN"/>
        </w:rPr>
        <w:t>3</w:t>
      </w:r>
      <w:r>
        <w:rPr>
          <w:rFonts w:hint="eastAsia" w:ascii="Times New Roman" w:hAnsi="宋体" w:cs="Times New Roman"/>
          <w:sz w:val="24"/>
          <w:szCs w:val="24"/>
          <w:u w:val="single"/>
          <w:lang w:val="en-US" w:eastAsia="zh-CN"/>
        </w:rPr>
        <w:t>）工程竣工验收合格后，发包人应组织承包人向使用人交付。</w:t>
      </w:r>
      <w:r>
        <w:rPr>
          <w:rFonts w:hint="eastAsia" w:hAnsi="宋体"/>
          <w:sz w:val="24"/>
          <w:szCs w:val="24"/>
          <w:u w:val="single"/>
        </w:rPr>
        <w:t>承包人按国家相关规定，完成所有单项验收后，进行工程竣工验收</w:t>
      </w:r>
      <w:r>
        <w:rPr>
          <w:rFonts w:hint="eastAsia" w:ascii="宋体" w:hAnsi="宋体" w:eastAsia="宋体" w:cs="宋体"/>
          <w:sz w:val="24"/>
          <w:szCs w:val="24"/>
          <w:highlight w:val="none"/>
        </w:rPr>
        <w:t>。</w:t>
      </w:r>
    </w:p>
    <w:p w14:paraId="75BF75B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发包人不按照本项约定组织竣工验收、颁发工程接收证书的违约金的计算方法：</w:t>
      </w:r>
      <w:r>
        <w:rPr>
          <w:rFonts w:hint="eastAsia" w:ascii="宋体" w:hAnsi="宋体" w:eastAsia="宋体" w:cs="宋体"/>
          <w:color w:val="000000"/>
          <w:sz w:val="24"/>
          <w:szCs w:val="24"/>
          <w:highlight w:val="none"/>
          <w:u w:val="single"/>
        </w:rPr>
        <w:t xml:space="preserve">  </w:t>
      </w:r>
      <w:r>
        <w:rPr>
          <w:rFonts w:hint="eastAsia" w:hAnsi="宋体"/>
          <w:sz w:val="24"/>
          <w:szCs w:val="24"/>
          <w:u w:val="single"/>
        </w:rPr>
        <w:t>双方另行协商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w:t>
      </w:r>
    </w:p>
    <w:bookmarkEnd w:id="595"/>
    <w:p w14:paraId="396E98A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13.2.5移交、接收全部与部分工程</w:t>
      </w:r>
    </w:p>
    <w:bookmarkEnd w:id="596"/>
    <w:p w14:paraId="6AABDE4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承包人向发包人移交工程的期限：</w:t>
      </w:r>
      <w:r>
        <w:rPr>
          <w:rFonts w:hint="eastAsia" w:ascii="宋体" w:hAnsi="宋体" w:eastAsia="宋体" w:cs="宋体"/>
          <w:sz w:val="24"/>
          <w:szCs w:val="24"/>
          <w:highlight w:val="none"/>
          <w:u w:val="single"/>
        </w:rPr>
        <w:t>在颁发工程接收证书后7日内完成</w:t>
      </w:r>
      <w:r>
        <w:rPr>
          <w:rFonts w:hint="eastAsia" w:ascii="宋体" w:hAnsi="宋体" w:eastAsia="宋体" w:cs="宋体"/>
          <w:sz w:val="24"/>
          <w:szCs w:val="24"/>
          <w:highlight w:val="none"/>
          <w:u w:val="none"/>
        </w:rPr>
        <w:t>。</w:t>
      </w:r>
    </w:p>
    <w:p w14:paraId="7540CF9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发包人未按本合同约定接收全部或部分工程的，违约金的计算方法为：</w:t>
      </w:r>
      <w:r>
        <w:rPr>
          <w:rFonts w:hint="eastAsia" w:hAnsi="宋体"/>
          <w:sz w:val="24"/>
          <w:szCs w:val="24"/>
          <w:u w:val="single"/>
        </w:rPr>
        <w:t>双方另行协商</w:t>
      </w:r>
      <w:r>
        <w:rPr>
          <w:rFonts w:hint="eastAsia" w:ascii="宋体" w:hAnsi="宋体" w:eastAsia="宋体" w:cs="宋体"/>
          <w:sz w:val="24"/>
          <w:szCs w:val="24"/>
          <w:highlight w:val="none"/>
        </w:rPr>
        <w:t>。</w:t>
      </w:r>
    </w:p>
    <w:bookmarkEnd w:id="597"/>
    <w:p w14:paraId="5BF92D3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承包人未按时移交工程的，违约金的计算方法为：</w:t>
      </w:r>
      <w:r>
        <w:rPr>
          <w:rFonts w:hint="eastAsia" w:hAnsi="宋体"/>
          <w:sz w:val="24"/>
          <w:szCs w:val="24"/>
          <w:u w:val="single"/>
        </w:rPr>
        <w:t>由承包人向发包人按合同总造价的1%支付违约金</w:t>
      </w:r>
      <w:r>
        <w:rPr>
          <w:rFonts w:hint="eastAsia" w:ascii="宋体" w:hAnsi="宋体" w:eastAsia="宋体" w:cs="宋体"/>
          <w:sz w:val="24"/>
          <w:szCs w:val="24"/>
          <w:highlight w:val="none"/>
        </w:rPr>
        <w:t>。</w:t>
      </w:r>
    </w:p>
    <w:p w14:paraId="542B6BB4">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13.3 工程试车</w:t>
      </w:r>
    </w:p>
    <w:bookmarkEnd w:id="598"/>
    <w:p w14:paraId="5EE8E56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13.3.1 试车程序</w:t>
      </w:r>
    </w:p>
    <w:p w14:paraId="1BD8BB4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kern w:val="0"/>
          <w:sz w:val="24"/>
          <w:szCs w:val="24"/>
          <w:highlight w:val="none"/>
        </w:rPr>
        <w:t>工程试车内容：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BBC9A2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（1）单机无负荷试车费用由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承担；</w:t>
      </w:r>
    </w:p>
    <w:p w14:paraId="0F88F3D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（2）无负荷联动试车费用由</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kern w:val="0"/>
          <w:sz w:val="24"/>
          <w:szCs w:val="24"/>
          <w:highlight w:val="none"/>
        </w:rPr>
        <w:t>承担。</w:t>
      </w:r>
    </w:p>
    <w:p w14:paraId="4C40D51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13.3.3 投料试车</w:t>
      </w:r>
    </w:p>
    <w:p w14:paraId="291D6F9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关于投料试车相关事项的约定：</w:t>
      </w:r>
      <w:r>
        <w:rPr>
          <w:rFonts w:hint="eastAsia" w:hAnsi="宋体"/>
          <w:sz w:val="24"/>
          <w:szCs w:val="24"/>
          <w:u w:val="single"/>
        </w:rPr>
        <w:t>动力、照明通电费、给排水、采暖及卫生设备试水费均由承包人承担</w:t>
      </w:r>
      <w:r>
        <w:rPr>
          <w:rFonts w:hint="eastAsia" w:ascii="宋体" w:hAnsi="宋体" w:eastAsia="宋体" w:cs="宋体"/>
          <w:sz w:val="24"/>
          <w:szCs w:val="24"/>
          <w:highlight w:val="none"/>
        </w:rPr>
        <w:t>。</w:t>
      </w:r>
    </w:p>
    <w:p w14:paraId="042B44E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00" w:name="_Toc2184"/>
      <w:bookmarkStart w:id="601" w:name="_Toc32284"/>
      <w:bookmarkStart w:id="602" w:name="_Toc11110"/>
      <w:r>
        <w:rPr>
          <w:rFonts w:hint="eastAsia" w:ascii="宋体" w:hAnsi="宋体" w:eastAsia="宋体" w:cs="宋体"/>
          <w:color w:val="000000"/>
          <w:sz w:val="24"/>
          <w:szCs w:val="24"/>
          <w:highlight w:val="none"/>
        </w:rPr>
        <w:t>13.6 竣工退场</w:t>
      </w:r>
      <w:bookmarkEnd w:id="600"/>
      <w:bookmarkEnd w:id="601"/>
      <w:bookmarkEnd w:id="602"/>
    </w:p>
    <w:p w14:paraId="58A1290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13.6.1 竣工退场</w:t>
      </w:r>
    </w:p>
    <w:p w14:paraId="730C9DE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承包人完成竣工退场的期限：</w:t>
      </w:r>
      <w:r>
        <w:rPr>
          <w:rFonts w:hint="eastAsia" w:ascii="宋体" w:hAnsi="宋体" w:eastAsia="宋体" w:cs="宋体"/>
          <w:sz w:val="24"/>
          <w:szCs w:val="24"/>
          <w:highlight w:val="none"/>
          <w:u w:val="single"/>
        </w:rPr>
        <w:t xml:space="preserve">在移交结束后7日内完成竣工退场 </w:t>
      </w:r>
      <w:r>
        <w:rPr>
          <w:rFonts w:hint="eastAsia" w:ascii="宋体" w:hAnsi="宋体" w:eastAsia="宋体" w:cs="宋体"/>
          <w:kern w:val="0"/>
          <w:sz w:val="24"/>
          <w:szCs w:val="24"/>
          <w:highlight w:val="none"/>
        </w:rPr>
        <w:t>。</w:t>
      </w:r>
    </w:p>
    <w:p w14:paraId="558C9502">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603" w:name="_Toc351203646"/>
      <w:r>
        <w:rPr>
          <w:rFonts w:hint="eastAsia" w:ascii="宋体" w:hAnsi="宋体" w:eastAsia="宋体" w:cs="宋体"/>
          <w:b w:val="0"/>
          <w:bCs w:val="0"/>
          <w:color w:val="000000"/>
          <w:sz w:val="24"/>
          <w:szCs w:val="24"/>
          <w:highlight w:val="none"/>
        </w:rPr>
        <w:t>14. 竣工结算</w:t>
      </w:r>
      <w:bookmarkEnd w:id="603"/>
    </w:p>
    <w:p w14:paraId="3BCC65B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 竣工结算申请</w:t>
      </w:r>
    </w:p>
    <w:p w14:paraId="2E2B730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承包人提交竣工结算申请单的期限：</w:t>
      </w:r>
      <w:r>
        <w:rPr>
          <w:rFonts w:hint="eastAsia" w:hAnsi="宋体"/>
          <w:sz w:val="24"/>
          <w:szCs w:val="24"/>
          <w:u w:val="single"/>
        </w:rPr>
        <w:t>按合同付款约定执行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DB1E1E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lang w:eastAsia="zh-CN"/>
        </w:rPr>
      </w:pPr>
      <w:r>
        <w:rPr>
          <w:rFonts w:hint="eastAsia" w:ascii="宋体" w:hAnsi="宋体" w:eastAsia="宋体" w:cs="宋体"/>
          <w:color w:val="000000"/>
          <w:sz w:val="24"/>
          <w:szCs w:val="24"/>
          <w:highlight w:val="none"/>
        </w:rPr>
        <w:t>竣工结算申请单应包括的内容：</w:t>
      </w:r>
      <w:r>
        <w:rPr>
          <w:rFonts w:hint="eastAsia" w:hAnsi="宋体"/>
          <w:sz w:val="24"/>
          <w:szCs w:val="24"/>
          <w:u w:val="single"/>
        </w:rPr>
        <w:t>按合同付款约定执行</w:t>
      </w:r>
      <w:r>
        <w:rPr>
          <w:rFonts w:hint="eastAsia" w:hAnsi="宋体"/>
          <w:sz w:val="24"/>
          <w:szCs w:val="24"/>
          <w:u w:val="single"/>
          <w:lang w:eastAsia="zh-CN"/>
        </w:rPr>
        <w:t>。</w:t>
      </w:r>
    </w:p>
    <w:p w14:paraId="4A0D082C">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04" w:name="_Toc833"/>
      <w:bookmarkStart w:id="605" w:name="_Toc1981"/>
      <w:bookmarkStart w:id="606" w:name="_Toc335"/>
      <w:r>
        <w:rPr>
          <w:rFonts w:hint="eastAsia" w:ascii="宋体" w:hAnsi="宋体" w:eastAsia="宋体" w:cs="宋体"/>
          <w:color w:val="000000"/>
          <w:sz w:val="24"/>
          <w:szCs w:val="24"/>
          <w:highlight w:val="none"/>
        </w:rPr>
        <w:t>14.2 竣工结算审核</w:t>
      </w:r>
      <w:bookmarkEnd w:id="604"/>
      <w:bookmarkEnd w:id="605"/>
      <w:bookmarkEnd w:id="606"/>
    </w:p>
    <w:p w14:paraId="1345E62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发包人审批竣工付款申请单的期限：</w:t>
      </w:r>
      <w:r>
        <w:rPr>
          <w:rFonts w:hint="eastAsia" w:ascii="宋体" w:hAnsi="宋体" w:eastAsia="宋体" w:cs="宋体"/>
          <w:sz w:val="24"/>
          <w:szCs w:val="24"/>
          <w:highlight w:val="none"/>
          <w:u w:val="single"/>
        </w:rPr>
        <w:t xml:space="preserve"> </w:t>
      </w:r>
      <w:r>
        <w:rPr>
          <w:rFonts w:hint="eastAsia" w:hAnsi="宋体" w:cs="Times New Roman"/>
          <w:color w:val="auto"/>
          <w:sz w:val="24"/>
          <w:szCs w:val="24"/>
          <w:u w:val="single"/>
          <w:lang w:val="en-US" w:eastAsia="zh-CN"/>
        </w:rPr>
        <w:t>工程竣工验收合格并全面移交给发包人后，承包人提交工程结算资料，发包人或其委托的造价咨询机构收到承包人完整的竣工结算资料后60～</w:t>
      </w:r>
      <w:r>
        <w:rPr>
          <w:rFonts w:hint="default" w:hAnsi="宋体" w:cs="Times New Roman"/>
          <w:color w:val="auto"/>
          <w:sz w:val="24"/>
          <w:szCs w:val="24"/>
          <w:u w:val="single"/>
          <w:lang w:val="en-US" w:eastAsia="zh-CN"/>
        </w:rPr>
        <w:t>120</w:t>
      </w:r>
      <w:r>
        <w:rPr>
          <w:rFonts w:hint="eastAsia" w:hAnsi="宋体" w:cs="Times New Roman"/>
          <w:color w:val="auto"/>
          <w:sz w:val="24"/>
          <w:szCs w:val="24"/>
          <w:u w:val="single"/>
          <w:lang w:val="en-US" w:eastAsia="zh-CN"/>
        </w:rPr>
        <w:t>天内提出核对意见。工程结算价款经发包人或其委托的专业造价咨询机构核对完毕，以审定结果为准</w:t>
      </w:r>
      <w:r>
        <w:rPr>
          <w:rFonts w:hint="eastAsia" w:ascii="宋体" w:hAnsi="宋体" w:eastAsia="宋体" w:cs="宋体"/>
          <w:sz w:val="24"/>
          <w:szCs w:val="24"/>
          <w:highlight w:val="none"/>
        </w:rPr>
        <w:t>。</w:t>
      </w:r>
    </w:p>
    <w:p w14:paraId="6B3E15C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发包人完成竣工付款的期限：</w:t>
      </w:r>
      <w:r>
        <w:rPr>
          <w:rFonts w:hint="eastAsia" w:hAnsi="宋体"/>
          <w:sz w:val="24"/>
          <w:szCs w:val="24"/>
          <w:u w:val="single"/>
        </w:rPr>
        <w:t>按合同付款约定执行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C69A27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关于竣工付款证书异议部分复核的方式和程序：</w:t>
      </w:r>
      <w:r>
        <w:rPr>
          <w:rFonts w:hint="eastAsia" w:hAnsi="宋体"/>
          <w:sz w:val="24"/>
          <w:szCs w:val="24"/>
          <w:u w:val="single"/>
        </w:rPr>
        <w:t>按通用条款执行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C569C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14.4 最终结清</w:t>
      </w:r>
    </w:p>
    <w:p w14:paraId="526AA9B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14.4.1 最终结清申请单</w:t>
      </w:r>
    </w:p>
    <w:p w14:paraId="12F5CD5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承包人提交最终结清申请单的份数：</w:t>
      </w:r>
      <w:r>
        <w:rPr>
          <w:rFonts w:hint="eastAsia" w:ascii="宋体" w:hAnsi="宋体" w:eastAsia="宋体" w:cs="宋体"/>
          <w:sz w:val="24"/>
          <w:szCs w:val="24"/>
          <w:highlight w:val="none"/>
          <w:u w:val="single"/>
        </w:rPr>
        <w:t>叁份</w:t>
      </w:r>
      <w:r>
        <w:rPr>
          <w:rFonts w:hint="eastAsia" w:ascii="宋体" w:hAnsi="宋体" w:eastAsia="宋体" w:cs="宋体"/>
          <w:sz w:val="24"/>
          <w:szCs w:val="24"/>
          <w:highlight w:val="none"/>
        </w:rPr>
        <w:t>。</w:t>
      </w:r>
    </w:p>
    <w:p w14:paraId="4A99E1E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rPr>
        <w:t>承包人提交最终结算申请单的期限：</w:t>
      </w:r>
      <w:r>
        <w:rPr>
          <w:rFonts w:hint="eastAsia" w:hAnsi="宋体"/>
          <w:sz w:val="24"/>
          <w:szCs w:val="24"/>
          <w:u w:val="single"/>
        </w:rPr>
        <w:t>执行通用条款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w:t>
      </w:r>
    </w:p>
    <w:p w14:paraId="14589FD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14.4.2 最终结清证书和支付</w:t>
      </w:r>
    </w:p>
    <w:p w14:paraId="7FB8B80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（1）发包人完成最终结清申请单的审批并颁发最终结清证书的期限：</w:t>
      </w:r>
      <w:r>
        <w:rPr>
          <w:rFonts w:hint="eastAsia" w:hAnsi="宋体"/>
          <w:sz w:val="24"/>
          <w:szCs w:val="24"/>
          <w:u w:val="single"/>
        </w:rPr>
        <w:t>执行通用条款</w:t>
      </w:r>
      <w:r>
        <w:rPr>
          <w:rFonts w:hint="eastAsia" w:ascii="宋体" w:hAnsi="宋体" w:eastAsia="宋体" w:cs="宋体"/>
          <w:sz w:val="24"/>
          <w:szCs w:val="24"/>
          <w:highlight w:val="none"/>
        </w:rPr>
        <w:t>。</w:t>
      </w:r>
    </w:p>
    <w:p w14:paraId="57B4E79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（2）发包人完成支付的期限：</w:t>
      </w:r>
      <w:r>
        <w:rPr>
          <w:rFonts w:hint="eastAsia" w:hAnsi="宋体"/>
          <w:sz w:val="24"/>
          <w:szCs w:val="24"/>
          <w:u w:val="single"/>
        </w:rPr>
        <w:t>执行通用条款</w:t>
      </w:r>
      <w:r>
        <w:rPr>
          <w:rFonts w:hint="eastAsia" w:ascii="宋体" w:hAnsi="宋体" w:eastAsia="宋体" w:cs="宋体"/>
          <w:sz w:val="24"/>
          <w:szCs w:val="24"/>
          <w:highlight w:val="none"/>
          <w:u w:val="none"/>
        </w:rPr>
        <w:t>。</w:t>
      </w:r>
    </w:p>
    <w:bookmarkEnd w:id="587"/>
    <w:bookmarkEnd w:id="588"/>
    <w:bookmarkEnd w:id="589"/>
    <w:bookmarkEnd w:id="590"/>
    <w:bookmarkEnd w:id="591"/>
    <w:bookmarkEnd w:id="592"/>
    <w:bookmarkEnd w:id="593"/>
    <w:bookmarkEnd w:id="599"/>
    <w:p w14:paraId="4F3CB184">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607" w:name="_Toc351203647"/>
      <w:bookmarkStart w:id="608" w:name="_Toc267251483"/>
      <w:bookmarkStart w:id="609" w:name="_Toc267251482"/>
      <w:bookmarkStart w:id="610" w:name="_Toc267251484"/>
      <w:bookmarkStart w:id="611" w:name="_Toc267251485"/>
      <w:bookmarkStart w:id="612" w:name="_Toc267251486"/>
      <w:bookmarkStart w:id="613" w:name="_Toc267251489"/>
      <w:bookmarkStart w:id="614" w:name="_Toc267251488"/>
      <w:bookmarkStart w:id="615" w:name="_Toc267251490"/>
      <w:bookmarkStart w:id="616" w:name="_Toc267251503"/>
      <w:bookmarkStart w:id="617" w:name="_Toc267251501"/>
      <w:bookmarkStart w:id="618" w:name="_Toc267251498"/>
      <w:bookmarkStart w:id="619" w:name="_Toc267251491"/>
      <w:bookmarkStart w:id="620" w:name="_Toc267251492"/>
      <w:bookmarkStart w:id="621" w:name="_Toc267251497"/>
      <w:bookmarkStart w:id="622" w:name="_Toc267251495"/>
      <w:bookmarkStart w:id="623" w:name="_Toc267251496"/>
      <w:bookmarkStart w:id="624" w:name="_Toc267251494"/>
      <w:bookmarkStart w:id="625" w:name="_Toc267251502"/>
      <w:bookmarkStart w:id="626" w:name="_Toc267251499"/>
      <w:bookmarkStart w:id="627" w:name="_Toc267251493"/>
      <w:bookmarkStart w:id="628" w:name="_Toc267251504"/>
      <w:bookmarkStart w:id="629" w:name="_Toc267251506"/>
      <w:bookmarkStart w:id="630" w:name="_Toc267251507"/>
      <w:bookmarkStart w:id="631" w:name="_Toc267251508"/>
      <w:bookmarkStart w:id="632" w:name="_Toc267251510"/>
      <w:bookmarkStart w:id="633" w:name="_Toc267251515"/>
      <w:bookmarkStart w:id="634" w:name="_Toc267251511"/>
      <w:bookmarkStart w:id="635" w:name="_Toc267251514"/>
      <w:bookmarkStart w:id="636" w:name="_Toc267251509"/>
      <w:bookmarkStart w:id="637" w:name="_Toc267251513"/>
      <w:r>
        <w:rPr>
          <w:rFonts w:hint="eastAsia" w:ascii="宋体" w:hAnsi="宋体" w:eastAsia="宋体" w:cs="宋体"/>
          <w:b w:val="0"/>
          <w:bCs w:val="0"/>
          <w:color w:val="000000"/>
          <w:sz w:val="24"/>
          <w:szCs w:val="24"/>
          <w:highlight w:val="none"/>
        </w:rPr>
        <w:t>15. 缺陷责任期与保修</w:t>
      </w:r>
      <w:bookmarkEnd w:id="607"/>
    </w:p>
    <w:p w14:paraId="1DD9F91F">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15.2缺陷责任期</w:t>
      </w:r>
      <w:bookmarkEnd w:id="608"/>
    </w:p>
    <w:p w14:paraId="6243ACA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缺陷责任期的具体期限：</w:t>
      </w:r>
      <w:r>
        <w:rPr>
          <w:rFonts w:hint="eastAsia" w:ascii="宋体" w:hAnsi="宋体" w:eastAsia="宋体" w:cs="宋体"/>
          <w:sz w:val="24"/>
          <w:szCs w:val="24"/>
          <w:highlight w:val="none"/>
          <w:u w:val="single"/>
        </w:rPr>
        <w:t xml:space="preserve"> </w:t>
      </w:r>
      <w:r>
        <w:rPr>
          <w:rFonts w:hAnsi="宋体"/>
          <w:sz w:val="24"/>
          <w:szCs w:val="24"/>
          <w:u w:val="single"/>
        </w:rPr>
        <w:t>缺陷责任期</w:t>
      </w:r>
      <w:r>
        <w:rPr>
          <w:rFonts w:hint="eastAsia" w:hAnsi="宋体"/>
          <w:sz w:val="24"/>
          <w:szCs w:val="24"/>
          <w:u w:val="single"/>
        </w:rPr>
        <w:t>为</w:t>
      </w:r>
      <w:r>
        <w:rPr>
          <w:rFonts w:hint="eastAsia" w:hAnsi="宋体"/>
          <w:sz w:val="24"/>
          <w:szCs w:val="24"/>
          <w:u w:val="single"/>
          <w:lang w:val="en-US" w:eastAsia="zh-CN"/>
        </w:rPr>
        <w:t>12</w:t>
      </w:r>
      <w:r>
        <w:rPr>
          <w:rFonts w:hint="eastAsia" w:hAnsi="宋体"/>
          <w:sz w:val="24"/>
          <w:szCs w:val="24"/>
          <w:u w:val="single"/>
        </w:rPr>
        <w:t>个月</w:t>
      </w:r>
      <w:r>
        <w:rPr>
          <w:rFonts w:hint="eastAsia" w:ascii="宋体" w:hAnsi="宋体" w:eastAsia="宋体" w:cs="宋体"/>
          <w:sz w:val="24"/>
          <w:szCs w:val="24"/>
          <w:highlight w:val="none"/>
        </w:rPr>
        <w:t>。</w:t>
      </w:r>
    </w:p>
    <w:p w14:paraId="2084E8D7">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38" w:name="_Toc27098"/>
      <w:bookmarkStart w:id="639" w:name="_Toc656"/>
      <w:bookmarkStart w:id="640" w:name="_Toc17599"/>
      <w:r>
        <w:rPr>
          <w:rFonts w:hint="eastAsia" w:ascii="宋体" w:hAnsi="宋体" w:eastAsia="宋体" w:cs="宋体"/>
          <w:color w:val="000000"/>
          <w:sz w:val="24"/>
          <w:szCs w:val="24"/>
          <w:highlight w:val="none"/>
        </w:rPr>
        <w:t>15.3 质量保证金</w:t>
      </w:r>
      <w:bookmarkEnd w:id="638"/>
      <w:bookmarkEnd w:id="639"/>
      <w:bookmarkEnd w:id="640"/>
    </w:p>
    <w:p w14:paraId="73E7387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关于是否扣留质量保证金的约定：</w:t>
      </w:r>
      <w:r>
        <w:rPr>
          <w:rFonts w:hint="eastAsia" w:hAnsi="宋体"/>
          <w:sz w:val="24"/>
          <w:szCs w:val="24"/>
          <w:u w:val="single"/>
        </w:rPr>
        <w:t>质量保证金按工程结算总价的3%计取</w:t>
      </w:r>
      <w:r>
        <w:rPr>
          <w:rFonts w:hint="eastAsia" w:ascii="宋体" w:hAnsi="宋体" w:eastAsia="宋体" w:cs="宋体"/>
          <w:color w:val="000000"/>
          <w:sz w:val="24"/>
          <w:szCs w:val="24"/>
          <w:highlight w:val="none"/>
        </w:rPr>
        <w:t>。</w:t>
      </w:r>
    </w:p>
    <w:p w14:paraId="101A48F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641" w:name="_Toc25608"/>
      <w:bookmarkStart w:id="642" w:name="_Toc29027"/>
      <w:bookmarkStart w:id="643" w:name="_Toc20490"/>
      <w:r>
        <w:rPr>
          <w:rFonts w:hint="eastAsia" w:ascii="宋体" w:hAnsi="宋体" w:eastAsia="宋体" w:cs="宋体"/>
          <w:color w:val="000000"/>
          <w:sz w:val="24"/>
          <w:szCs w:val="24"/>
          <w:highlight w:val="none"/>
        </w:rPr>
        <w:t>15.3.1 承包人提供质量保证金的方式</w:t>
      </w:r>
      <w:bookmarkEnd w:id="641"/>
      <w:bookmarkEnd w:id="642"/>
      <w:bookmarkEnd w:id="643"/>
    </w:p>
    <w:p w14:paraId="718F856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质量保证金采用以下第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种方式：</w:t>
      </w:r>
    </w:p>
    <w:p w14:paraId="69D7447D">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（1）质量保证金保函，保证金额为：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rPr>
        <w:t>；</w:t>
      </w:r>
    </w:p>
    <w:p w14:paraId="4816477A">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3%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的工程款；</w:t>
      </w:r>
    </w:p>
    <w:p w14:paraId="6AFBD649">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14:paraId="113C8CD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644" w:name="_Toc21430"/>
      <w:bookmarkStart w:id="645" w:name="_Toc5313"/>
      <w:bookmarkStart w:id="646" w:name="_Toc32262"/>
      <w:r>
        <w:rPr>
          <w:rFonts w:hint="eastAsia" w:ascii="宋体" w:hAnsi="宋体" w:eastAsia="宋体" w:cs="宋体"/>
          <w:color w:val="000000"/>
          <w:sz w:val="24"/>
          <w:szCs w:val="24"/>
          <w:highlight w:val="none"/>
        </w:rPr>
        <w:t>15.3.2 质量保证金的扣留</w:t>
      </w:r>
      <w:bookmarkEnd w:id="644"/>
      <w:bookmarkEnd w:id="645"/>
      <w:bookmarkEnd w:id="646"/>
      <w:r>
        <w:rPr>
          <w:rFonts w:hint="eastAsia" w:ascii="宋体" w:hAnsi="宋体" w:eastAsia="宋体" w:cs="宋体"/>
          <w:color w:val="000000"/>
          <w:sz w:val="24"/>
          <w:szCs w:val="24"/>
          <w:highlight w:val="none"/>
        </w:rPr>
        <w:t xml:space="preserve"> </w:t>
      </w:r>
    </w:p>
    <w:p w14:paraId="1CEB7C0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质量保证金的扣留采取以下第</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种方式：</w:t>
      </w:r>
    </w:p>
    <w:p w14:paraId="46A4B71D">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（1）在支付工程进度款时逐次扣留，在此情形下，质量保证金的计算基数不包括预付款的支付、扣回以及价格调整的金额；</w:t>
      </w:r>
    </w:p>
    <w:p w14:paraId="14D3B1DF">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bookmarkStart w:id="647" w:name="_Toc13500"/>
      <w:bookmarkStart w:id="648" w:name="_Toc1768"/>
      <w:bookmarkStart w:id="649" w:name="_Toc31300"/>
      <w:r>
        <w:rPr>
          <w:rFonts w:hint="eastAsia" w:ascii="宋体" w:hAnsi="宋体" w:eastAsia="宋体" w:cs="宋体"/>
          <w:color w:val="000000"/>
          <w:kern w:val="0"/>
          <w:sz w:val="24"/>
          <w:szCs w:val="24"/>
          <w:highlight w:val="none"/>
        </w:rPr>
        <w:t>（2）工程竣工结算时一次性扣留质量保证金；</w:t>
      </w:r>
      <w:bookmarkEnd w:id="647"/>
      <w:bookmarkEnd w:id="648"/>
      <w:bookmarkEnd w:id="649"/>
    </w:p>
    <w:p w14:paraId="1A8F0D8E">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（3）其他扣留方式:</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14:paraId="54AB14A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关于质量保证金的补充约定：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u w:val="singl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bookmarkEnd w:id="609"/>
    <w:bookmarkEnd w:id="610"/>
    <w:p w14:paraId="290154C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15.4保修</w:t>
      </w:r>
    </w:p>
    <w:bookmarkEnd w:id="611"/>
    <w:p w14:paraId="12B3316A">
      <w:pPr>
        <w:pageBreakBefore w:val="0"/>
        <w:kinsoku/>
        <w:wordWrap/>
        <w:overflowPunct/>
        <w:topLinePunct w:val="0"/>
        <w:bidi w:val="0"/>
        <w:spacing w:line="360" w:lineRule="auto"/>
        <w:ind w:firstLine="468" w:firstLineChars="195"/>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15.4.1 保修责任</w:t>
      </w:r>
    </w:p>
    <w:p w14:paraId="766AFF3C">
      <w:pPr>
        <w:pageBreakBefore w:val="0"/>
        <w:kinsoku/>
        <w:wordWrap/>
        <w:overflowPunct/>
        <w:topLinePunct w:val="0"/>
        <w:bidi w:val="0"/>
        <w:spacing w:line="360" w:lineRule="auto"/>
        <w:ind w:firstLine="468" w:firstLineChars="195"/>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工程保修期为：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按国家有关规定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rPr>
        <w:t>。</w:t>
      </w:r>
    </w:p>
    <w:p w14:paraId="5CADB2DA">
      <w:pPr>
        <w:pageBreakBefore w:val="0"/>
        <w:kinsoku/>
        <w:wordWrap/>
        <w:overflowPunct/>
        <w:topLinePunct w:val="0"/>
        <w:bidi w:val="0"/>
        <w:spacing w:line="360" w:lineRule="auto"/>
        <w:ind w:firstLine="468" w:firstLineChars="195"/>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15.4.3 修复通知</w:t>
      </w:r>
    </w:p>
    <w:p w14:paraId="1FA706AE">
      <w:pPr>
        <w:pageBreakBefore w:val="0"/>
        <w:kinsoku/>
        <w:wordWrap/>
        <w:overflowPunct/>
        <w:topLinePunct w:val="0"/>
        <w:bidi w:val="0"/>
        <w:spacing w:line="360" w:lineRule="auto"/>
        <w:ind w:firstLine="468" w:firstLineChars="195"/>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承包人收到保修通知并到达工程现场的合理时间：</w:t>
      </w:r>
      <w:r>
        <w:rPr>
          <w:rFonts w:hint="eastAsia" w:ascii="Times New Roman" w:hAnsi="宋体" w:cs="Times New Roman"/>
          <w:sz w:val="24"/>
          <w:szCs w:val="24"/>
          <w:u w:val="single"/>
          <w:lang w:val="en-US" w:eastAsia="zh-CN"/>
        </w:rPr>
        <w:t>具体约定详见工程质量保修书</w:t>
      </w:r>
      <w:r>
        <w:rPr>
          <w:rFonts w:hint="eastAsia" w:ascii="宋体" w:hAnsi="宋体" w:eastAsia="宋体" w:cs="宋体"/>
          <w:kern w:val="0"/>
          <w:sz w:val="24"/>
          <w:szCs w:val="24"/>
          <w:highlight w:val="none"/>
        </w:rPr>
        <w:t>。</w:t>
      </w:r>
    </w:p>
    <w:bookmarkEnd w:id="612"/>
    <w:bookmarkEnd w:id="613"/>
    <w:bookmarkEnd w:id="614"/>
    <w:bookmarkEnd w:id="615"/>
    <w:p w14:paraId="25630FB9">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650" w:name="_Toc351203648"/>
      <w:bookmarkStart w:id="651" w:name="_Toc280868717"/>
      <w:bookmarkStart w:id="652" w:name="_Toc280868718"/>
      <w:r>
        <w:rPr>
          <w:rFonts w:hint="eastAsia" w:ascii="宋体" w:hAnsi="宋体" w:eastAsia="宋体" w:cs="宋体"/>
          <w:b w:val="0"/>
          <w:bCs w:val="0"/>
          <w:color w:val="000000"/>
          <w:sz w:val="24"/>
          <w:szCs w:val="24"/>
          <w:highlight w:val="none"/>
        </w:rPr>
        <w:t>16. 违约</w:t>
      </w:r>
      <w:bookmarkEnd w:id="650"/>
    </w:p>
    <w:p w14:paraId="06CC279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53" w:name="_Toc20102"/>
      <w:bookmarkStart w:id="654" w:name="_Toc20536"/>
      <w:bookmarkStart w:id="655" w:name="_Toc27758"/>
      <w:r>
        <w:rPr>
          <w:rFonts w:hint="eastAsia" w:ascii="宋体" w:hAnsi="宋体" w:eastAsia="宋体" w:cs="宋体"/>
          <w:color w:val="000000"/>
          <w:sz w:val="24"/>
          <w:szCs w:val="24"/>
          <w:highlight w:val="none"/>
        </w:rPr>
        <w:t>16.1 发包人违约</w:t>
      </w:r>
      <w:bookmarkEnd w:id="653"/>
      <w:bookmarkEnd w:id="654"/>
      <w:bookmarkEnd w:id="655"/>
    </w:p>
    <w:p w14:paraId="7B0B39A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16.1.1发包人违约的情形</w:t>
      </w:r>
    </w:p>
    <w:p w14:paraId="4E5D08C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发包人违约的其他情形：</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rPr>
        <w:t>。</w:t>
      </w:r>
    </w:p>
    <w:p w14:paraId="4A4A712B">
      <w:pPr>
        <w:pageBreakBefore w:val="0"/>
        <w:kinsoku/>
        <w:wordWrap/>
        <w:overflowPunct/>
        <w:topLinePunct w:val="0"/>
        <w:bidi w:val="0"/>
        <w:spacing w:line="360" w:lineRule="auto"/>
        <w:ind w:left="1050" w:hanging="1200" w:hangingChars="5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    16.1.2 发包人违约的责任</w:t>
      </w:r>
    </w:p>
    <w:p w14:paraId="7CD9C83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发包人违约责任的承担方式和计算方法：</w:t>
      </w:r>
    </w:p>
    <w:p w14:paraId="24C7928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（1）因发包人原因未能在计划开工日期前7天内下达开工通知的违约责任：</w:t>
      </w:r>
      <w:r>
        <w:rPr>
          <w:rFonts w:hint="eastAsia" w:ascii="宋体" w:hAnsi="宋体" w:eastAsia="宋体" w:cs="宋体"/>
          <w:kern w:val="0"/>
          <w:sz w:val="24"/>
          <w:szCs w:val="24"/>
          <w:highlight w:val="none"/>
          <w:u w:val="single"/>
        </w:rPr>
        <w:t>发包人顺延工期</w:t>
      </w:r>
      <w:r>
        <w:rPr>
          <w:rFonts w:hint="eastAsia" w:ascii="宋体" w:hAnsi="宋体" w:eastAsia="宋体" w:cs="宋体"/>
          <w:kern w:val="0"/>
          <w:sz w:val="24"/>
          <w:szCs w:val="24"/>
          <w:highlight w:val="none"/>
        </w:rPr>
        <w:t>。</w:t>
      </w:r>
    </w:p>
    <w:p w14:paraId="25E6C5D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（2）因发包人原因未能按合同约定支付合同价款的违约责任：</w:t>
      </w:r>
      <w:r>
        <w:rPr>
          <w:rFonts w:hint="eastAsia" w:ascii="宋体" w:hAnsi="宋体" w:eastAsia="宋体" w:cs="宋体"/>
          <w:kern w:val="0"/>
          <w:sz w:val="24"/>
          <w:szCs w:val="24"/>
          <w:highlight w:val="none"/>
          <w:u w:val="single"/>
        </w:rPr>
        <w:t>发包人顺延工期</w:t>
      </w:r>
      <w:r>
        <w:rPr>
          <w:rFonts w:hint="eastAsia" w:ascii="宋体" w:hAnsi="宋体" w:eastAsia="宋体" w:cs="宋体"/>
          <w:kern w:val="0"/>
          <w:sz w:val="24"/>
          <w:szCs w:val="24"/>
          <w:highlight w:val="none"/>
        </w:rPr>
        <w:t>。</w:t>
      </w:r>
    </w:p>
    <w:p w14:paraId="58A4AC3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000000"/>
          <w:kern w:val="0"/>
          <w:sz w:val="24"/>
          <w:szCs w:val="24"/>
          <w:highlight w:val="none"/>
          <w:u w:val="single"/>
        </w:rPr>
        <w:t xml:space="preserve">  发包人承担</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kern w:val="0"/>
          <w:sz w:val="24"/>
          <w:szCs w:val="24"/>
          <w:highlight w:val="none"/>
        </w:rPr>
        <w:t>。</w:t>
      </w:r>
    </w:p>
    <w:p w14:paraId="7766C88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szCs w:val="24"/>
          <w:highlight w:val="none"/>
          <w:u w:val="single"/>
        </w:rPr>
        <w:t>发包人顺延工期</w:t>
      </w:r>
      <w:r>
        <w:rPr>
          <w:rFonts w:hint="eastAsia" w:ascii="宋体" w:hAnsi="宋体" w:eastAsia="宋体" w:cs="宋体"/>
          <w:kern w:val="0"/>
          <w:sz w:val="24"/>
          <w:szCs w:val="24"/>
          <w:highlight w:val="none"/>
        </w:rPr>
        <w:t>。</w:t>
      </w:r>
    </w:p>
    <w:p w14:paraId="753E531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（5）因发包人违反合同约定造成暂停施工的违约责任：</w:t>
      </w:r>
      <w:r>
        <w:rPr>
          <w:rFonts w:hint="eastAsia" w:ascii="宋体" w:hAnsi="宋体" w:eastAsia="宋体" w:cs="宋体"/>
          <w:kern w:val="0"/>
          <w:sz w:val="24"/>
          <w:szCs w:val="24"/>
          <w:highlight w:val="none"/>
          <w:u w:val="single"/>
        </w:rPr>
        <w:t>发包人顺延工期</w:t>
      </w:r>
      <w:r>
        <w:rPr>
          <w:rFonts w:hint="eastAsia" w:ascii="宋体" w:hAnsi="宋体" w:eastAsia="宋体" w:cs="宋体"/>
          <w:kern w:val="0"/>
          <w:sz w:val="24"/>
          <w:szCs w:val="24"/>
          <w:highlight w:val="none"/>
        </w:rPr>
        <w:t>。</w:t>
      </w:r>
    </w:p>
    <w:p w14:paraId="3233BDE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（6）发包人无正当理由没有在约定期限内发出复工指示，导致承包人无法复工的违约责任：</w:t>
      </w:r>
      <w:r>
        <w:rPr>
          <w:rFonts w:hint="eastAsia" w:ascii="宋体" w:hAnsi="宋体" w:eastAsia="宋体" w:cs="宋体"/>
          <w:kern w:val="0"/>
          <w:sz w:val="24"/>
          <w:szCs w:val="24"/>
          <w:highlight w:val="none"/>
          <w:u w:val="single"/>
        </w:rPr>
        <w:t xml:space="preserve">发包人顺延工期 </w:t>
      </w:r>
      <w:r>
        <w:rPr>
          <w:rFonts w:hint="eastAsia" w:ascii="宋体" w:hAnsi="宋体" w:eastAsia="宋体" w:cs="宋体"/>
          <w:kern w:val="0"/>
          <w:sz w:val="24"/>
          <w:szCs w:val="24"/>
          <w:highlight w:val="none"/>
        </w:rPr>
        <w:t>。</w:t>
      </w:r>
    </w:p>
    <w:p w14:paraId="1C1CE45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（7）其他：</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u w:val="single"/>
        </w:rPr>
        <w:t>无</w:t>
      </w:r>
      <w:r>
        <w:rPr>
          <w:rFonts w:hint="eastAsia" w:ascii="宋体" w:hAnsi="宋体" w:eastAsia="宋体" w:cs="宋体"/>
          <w:color w:val="000000"/>
          <w:sz w:val="24"/>
          <w:szCs w:val="24"/>
          <w:highlight w:val="none"/>
          <w:u w:val="single"/>
        </w:rPr>
        <w:t xml:space="preserve">     </w:t>
      </w:r>
      <w:r>
        <w:rPr>
          <w:rFonts w:hint="eastAsia" w:ascii="宋体" w:hAnsi="宋体" w:eastAsia="宋体" w:cs="宋体"/>
          <w:kern w:val="0"/>
          <w:sz w:val="24"/>
          <w:szCs w:val="24"/>
          <w:highlight w:val="none"/>
        </w:rPr>
        <w:t>。</w:t>
      </w:r>
    </w:p>
    <w:p w14:paraId="47355E3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16.1.3 因发包人违约解除合同</w:t>
      </w:r>
    </w:p>
    <w:p w14:paraId="33DA5051">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承包人按16.1.1项〔发包人违约的情形〕约定暂停施工满</w:t>
      </w:r>
      <w:r>
        <w:rPr>
          <w:rFonts w:hint="eastAsia" w:ascii="宋体" w:hAnsi="宋体" w:eastAsia="宋体" w:cs="宋体"/>
          <w:color w:val="000000"/>
          <w:kern w:val="0"/>
          <w:sz w:val="24"/>
          <w:szCs w:val="24"/>
          <w:highlight w:val="none"/>
          <w:u w:val="single"/>
        </w:rPr>
        <w:t>90</w:t>
      </w:r>
      <w:r>
        <w:rPr>
          <w:rFonts w:hint="eastAsia" w:ascii="宋体" w:hAnsi="宋体" w:eastAsia="宋体" w:cs="宋体"/>
          <w:color w:val="000000"/>
          <w:kern w:val="0"/>
          <w:sz w:val="24"/>
          <w:szCs w:val="24"/>
          <w:highlight w:val="none"/>
        </w:rPr>
        <w:t>天后发包人仍不纠正其违约行为并致使合同目的不能实现的，承包人有权解除合同。</w:t>
      </w:r>
    </w:p>
    <w:p w14:paraId="5C2C3700">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56" w:name="_Toc6904"/>
      <w:bookmarkStart w:id="657" w:name="_Toc9057"/>
      <w:bookmarkStart w:id="658" w:name="_Toc20806"/>
      <w:r>
        <w:rPr>
          <w:rFonts w:hint="eastAsia" w:ascii="宋体" w:hAnsi="宋体" w:eastAsia="宋体" w:cs="宋体"/>
          <w:color w:val="000000"/>
          <w:sz w:val="24"/>
          <w:szCs w:val="24"/>
          <w:highlight w:val="none"/>
        </w:rPr>
        <w:t>16.2 承包人违约</w:t>
      </w:r>
      <w:bookmarkEnd w:id="656"/>
      <w:bookmarkEnd w:id="657"/>
      <w:bookmarkEnd w:id="658"/>
    </w:p>
    <w:p w14:paraId="17471EF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16.2.1 承包人违约的情形</w:t>
      </w:r>
    </w:p>
    <w:p w14:paraId="26436DB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承包人违约的其他情形：</w:t>
      </w:r>
      <w:r>
        <w:rPr>
          <w:rFonts w:hint="eastAsia" w:ascii="宋体" w:hAnsi="宋体" w:eastAsia="宋体" w:cs="宋体"/>
          <w:sz w:val="24"/>
          <w:szCs w:val="24"/>
          <w:highlight w:val="none"/>
          <w:u w:val="single"/>
        </w:rPr>
        <w:t>承包人因任何原因，未在甲方及监理同意的情况下停工或消极怠工，均视为违约，且在接到复工通知3日内不复工的，甲方有权解除合同，已完工程量按70%计量，且一切损失由承包人自负</w:t>
      </w:r>
      <w:r>
        <w:rPr>
          <w:rFonts w:hint="eastAsia" w:ascii="宋体" w:hAnsi="宋体" w:eastAsia="宋体" w:cs="宋体"/>
          <w:color w:val="000000"/>
          <w:kern w:val="0"/>
          <w:sz w:val="24"/>
          <w:szCs w:val="24"/>
          <w:highlight w:val="none"/>
        </w:rPr>
        <w:t>。</w:t>
      </w:r>
    </w:p>
    <w:p w14:paraId="43FBC6C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16.2.2承包人违约的责任</w:t>
      </w:r>
    </w:p>
    <w:p w14:paraId="7FE1503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u w:val="single"/>
        </w:rPr>
      </w:pPr>
      <w:r>
        <w:rPr>
          <w:rFonts w:hint="eastAsia" w:ascii="宋体" w:hAnsi="宋体" w:eastAsia="宋体" w:cs="宋体"/>
          <w:color w:val="000000"/>
          <w:kern w:val="0"/>
          <w:sz w:val="24"/>
          <w:szCs w:val="24"/>
          <w:highlight w:val="none"/>
        </w:rPr>
        <w:t>承包人违约责任的承担方式和计算方法：</w:t>
      </w:r>
      <w:r>
        <w:rPr>
          <w:rFonts w:hint="eastAsia" w:ascii="宋体" w:hAnsi="宋体" w:eastAsia="宋体" w:cs="宋体"/>
          <w:kern w:val="0"/>
          <w:sz w:val="24"/>
          <w:szCs w:val="24"/>
          <w:highlight w:val="none"/>
          <w:u w:val="single"/>
        </w:rPr>
        <w:t>承包人承担全部费用，费用工期不顺延。工期延误</w:t>
      </w:r>
      <w:r>
        <w:rPr>
          <w:rFonts w:hint="eastAsia" w:ascii="宋体" w:hAnsi="宋体" w:eastAsia="宋体" w:cs="宋体"/>
          <w:sz w:val="24"/>
          <w:szCs w:val="24"/>
          <w:highlight w:val="none"/>
          <w:u w:val="single"/>
        </w:rPr>
        <w:t>每延误一天，承包人赔偿给发包人贰万元违约金</w:t>
      </w:r>
      <w:r>
        <w:rPr>
          <w:rFonts w:hint="eastAsia" w:ascii="宋体" w:hAnsi="宋体" w:eastAsia="宋体" w:cs="宋体"/>
          <w:color w:val="000000"/>
          <w:kern w:val="0"/>
          <w:sz w:val="24"/>
          <w:szCs w:val="24"/>
          <w:highlight w:val="none"/>
        </w:rPr>
        <w:t>。</w:t>
      </w:r>
    </w:p>
    <w:p w14:paraId="55E5CDC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16.2.3 因承包人违约解除合同</w:t>
      </w:r>
    </w:p>
    <w:p w14:paraId="117AD4CF">
      <w:pPr>
        <w:pageBreakBefore w:val="0"/>
        <w:kinsoku/>
        <w:wordWrap/>
        <w:overflowPunct/>
        <w:topLinePunct w:val="0"/>
        <w:bidi w:val="0"/>
        <w:spacing w:before="120" w:after="120"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关于承包人违约解除合同的特别约定：</w:t>
      </w:r>
      <w:r>
        <w:rPr>
          <w:rFonts w:hint="eastAsia" w:hAnsi="宋体"/>
          <w:sz w:val="24"/>
          <w:szCs w:val="24"/>
          <w:u w:val="single"/>
        </w:rPr>
        <w:t>按通用条款执行</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517486CB">
      <w:pPr>
        <w:pageBreakBefore w:val="0"/>
        <w:kinsoku/>
        <w:wordWrap/>
        <w:overflowPunct/>
        <w:topLinePunct w:val="0"/>
        <w:bidi w:val="0"/>
        <w:spacing w:before="120" w:after="120" w:line="360" w:lineRule="auto"/>
        <w:ind w:firstLine="480" w:firstLineChars="200"/>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kern w:val="0"/>
          <w:sz w:val="24"/>
          <w:szCs w:val="24"/>
          <w:highlight w:val="none"/>
          <w:u w:val="single"/>
        </w:rPr>
        <w:t xml:space="preserve"> 施工现场的材料、设备由发包人承担费用，其它费用由承包人承担</w:t>
      </w:r>
      <w:r>
        <w:rPr>
          <w:rFonts w:hint="eastAsia" w:ascii="宋体" w:hAnsi="宋体" w:eastAsia="宋体" w:cs="宋体"/>
          <w:kern w:val="0"/>
          <w:sz w:val="24"/>
          <w:szCs w:val="24"/>
          <w:highlight w:val="none"/>
          <w:u w:val="none"/>
        </w:rPr>
        <w:t>。</w:t>
      </w:r>
    </w:p>
    <w:p w14:paraId="2EFCBF0E">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659" w:name="_Toc351203649"/>
      <w:r>
        <w:rPr>
          <w:rFonts w:hint="eastAsia" w:ascii="宋体" w:hAnsi="宋体" w:eastAsia="宋体" w:cs="宋体"/>
          <w:b w:val="0"/>
          <w:bCs w:val="0"/>
          <w:color w:val="000000"/>
          <w:sz w:val="24"/>
          <w:szCs w:val="24"/>
          <w:highlight w:val="none"/>
        </w:rPr>
        <w:t>17. 不可抗力</w:t>
      </w:r>
      <w:bookmarkEnd w:id="651"/>
      <w:bookmarkEnd w:id="659"/>
    </w:p>
    <w:p w14:paraId="07DC6894">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 不可抗力的确认</w:t>
      </w:r>
    </w:p>
    <w:p w14:paraId="20839BF7">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kern w:val="0"/>
          <w:sz w:val="24"/>
          <w:szCs w:val="24"/>
          <w:highlight w:val="none"/>
          <w:u w:val="single"/>
        </w:rPr>
      </w:pPr>
      <w:r>
        <w:rPr>
          <w:rFonts w:hint="eastAsia" w:ascii="宋体" w:hAnsi="宋体" w:eastAsia="宋体" w:cs="宋体"/>
          <w:color w:val="000000"/>
          <w:sz w:val="24"/>
          <w:szCs w:val="24"/>
          <w:highlight w:val="none"/>
        </w:rPr>
        <w:t>除通用合同条款约定的不可抗力事件之外，视为不可抗力的其他情形：</w:t>
      </w:r>
      <w:r>
        <w:rPr>
          <w:rFonts w:hint="eastAsia" w:hAnsi="宋体"/>
          <w:sz w:val="24"/>
          <w:szCs w:val="24"/>
          <w:u w:val="single"/>
        </w:rPr>
        <w:t>按通用条款执行。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kern w:val="0"/>
          <w:sz w:val="24"/>
          <w:szCs w:val="24"/>
          <w:highlight w:val="none"/>
        </w:rPr>
        <w:t>。</w:t>
      </w:r>
    </w:p>
    <w:p w14:paraId="01F7AFF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60" w:name="_Toc6288"/>
      <w:bookmarkStart w:id="661" w:name="_Toc20439"/>
      <w:bookmarkStart w:id="662" w:name="_Toc24752"/>
      <w:r>
        <w:rPr>
          <w:rFonts w:hint="eastAsia" w:ascii="宋体" w:hAnsi="宋体" w:eastAsia="宋体" w:cs="宋体"/>
          <w:color w:val="000000"/>
          <w:sz w:val="24"/>
          <w:szCs w:val="24"/>
          <w:highlight w:val="none"/>
        </w:rPr>
        <w:t>17.4 因不可抗力解除合同</w:t>
      </w:r>
      <w:bookmarkEnd w:id="660"/>
      <w:bookmarkEnd w:id="661"/>
      <w:bookmarkEnd w:id="662"/>
    </w:p>
    <w:p w14:paraId="2780277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合同解除后，发包人应在商定或确定发包人应支付款项后</w:t>
      </w:r>
      <w:r>
        <w:rPr>
          <w:rFonts w:hint="eastAsia" w:ascii="宋体" w:hAnsi="宋体" w:eastAsia="宋体" w:cs="宋体"/>
          <w:color w:val="000000"/>
          <w:sz w:val="24"/>
          <w:szCs w:val="24"/>
          <w:highlight w:val="none"/>
          <w:u w:val="single"/>
        </w:rPr>
        <w:t>28</w:t>
      </w:r>
      <w:r>
        <w:rPr>
          <w:rFonts w:hint="eastAsia" w:ascii="宋体" w:hAnsi="宋体" w:eastAsia="宋体" w:cs="宋体"/>
          <w:color w:val="000000"/>
          <w:sz w:val="24"/>
          <w:szCs w:val="24"/>
          <w:highlight w:val="none"/>
        </w:rPr>
        <w:t>天内完成款项的支付。</w:t>
      </w:r>
    </w:p>
    <w:p w14:paraId="20C99FE6">
      <w:pPr>
        <w:pageBreakBefore w:val="0"/>
        <w:kinsoku/>
        <w:wordWrap/>
        <w:overflowPunct/>
        <w:topLinePunct w:val="0"/>
        <w:bidi w:val="0"/>
        <w:spacing w:before="120" w:after="120" w:line="360" w:lineRule="auto"/>
        <w:textAlignment w:val="auto"/>
        <w:outlineLvl w:val="9"/>
        <w:rPr>
          <w:rFonts w:hint="eastAsia" w:ascii="宋体" w:hAnsi="宋体" w:eastAsia="宋体" w:cs="宋体"/>
          <w:b w:val="0"/>
          <w:bCs w:val="0"/>
          <w:color w:val="000000"/>
          <w:sz w:val="24"/>
          <w:szCs w:val="24"/>
          <w:highlight w:val="none"/>
        </w:rPr>
      </w:pPr>
      <w:bookmarkStart w:id="663" w:name="_Toc351203650"/>
      <w:r>
        <w:rPr>
          <w:rFonts w:hint="eastAsia" w:ascii="宋体" w:hAnsi="宋体" w:eastAsia="宋体" w:cs="宋体"/>
          <w:b w:val="0"/>
          <w:bCs w:val="0"/>
          <w:color w:val="000000"/>
          <w:sz w:val="24"/>
          <w:szCs w:val="24"/>
          <w:highlight w:val="none"/>
        </w:rPr>
        <w:t>18. 保险</w:t>
      </w:r>
      <w:bookmarkEnd w:id="663"/>
    </w:p>
    <w:bookmarkEnd w:id="652"/>
    <w:p w14:paraId="799CABD1">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18.1 工程保险</w:t>
      </w:r>
    </w:p>
    <w:p w14:paraId="49CE98C6">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关于工程保险的特别约定：</w:t>
      </w:r>
      <w:r>
        <w:rPr>
          <w:rFonts w:hint="eastAsia" w:ascii="宋体" w:hAnsi="宋体" w:eastAsia="宋体" w:cs="宋体"/>
          <w:kern w:val="0"/>
          <w:sz w:val="24"/>
          <w:szCs w:val="24"/>
          <w:highlight w:val="none"/>
          <w:u w:val="single"/>
        </w:rPr>
        <w:t>为工程购买建筑工程一切险，保险费用由承包人支付</w:t>
      </w:r>
      <w:r>
        <w:rPr>
          <w:rFonts w:hint="eastAsia" w:ascii="宋体" w:hAnsi="宋体" w:eastAsia="宋体" w:cs="宋体"/>
          <w:color w:val="000000"/>
          <w:kern w:val="0"/>
          <w:sz w:val="24"/>
          <w:szCs w:val="24"/>
          <w:highlight w:val="none"/>
        </w:rPr>
        <w:t>。</w:t>
      </w:r>
    </w:p>
    <w:p w14:paraId="6A22F335">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64" w:name="_Toc15883"/>
      <w:bookmarkStart w:id="665" w:name="_Toc31535"/>
      <w:bookmarkStart w:id="666" w:name="_Toc21587"/>
      <w:r>
        <w:rPr>
          <w:rFonts w:hint="eastAsia" w:ascii="宋体" w:hAnsi="宋体" w:eastAsia="宋体" w:cs="宋体"/>
          <w:color w:val="000000"/>
          <w:sz w:val="24"/>
          <w:szCs w:val="24"/>
          <w:highlight w:val="none"/>
        </w:rPr>
        <w:t>18.3 其他保险</w:t>
      </w:r>
      <w:bookmarkEnd w:id="664"/>
      <w:bookmarkEnd w:id="665"/>
      <w:bookmarkEnd w:id="666"/>
    </w:p>
    <w:p w14:paraId="4FD361D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关于其他保险的约定：</w:t>
      </w:r>
      <w:r>
        <w:rPr>
          <w:rFonts w:hint="eastAsia" w:ascii="宋体" w:hAnsi="宋体" w:eastAsia="宋体" w:cs="宋体"/>
          <w:kern w:val="0"/>
          <w:sz w:val="24"/>
          <w:szCs w:val="24"/>
          <w:highlight w:val="none"/>
          <w:u w:val="single"/>
        </w:rPr>
        <w:t>承包人为施工现场的全部人员办理意外伤害保险、工程事故保险。一切事故均与发包方无关</w:t>
      </w:r>
      <w:r>
        <w:rPr>
          <w:rFonts w:hint="eastAsia" w:ascii="宋体" w:hAnsi="宋体" w:eastAsia="宋体" w:cs="宋体"/>
          <w:color w:val="000000"/>
          <w:kern w:val="0"/>
          <w:sz w:val="24"/>
          <w:szCs w:val="24"/>
          <w:highlight w:val="none"/>
        </w:rPr>
        <w:t>。</w:t>
      </w:r>
    </w:p>
    <w:p w14:paraId="6A54B0E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承包人是否应为其施工设备等办理财产保险：</w:t>
      </w:r>
      <w:r>
        <w:rPr>
          <w:rFonts w:hint="eastAsia" w:ascii="宋体" w:hAnsi="宋体" w:eastAsia="宋体" w:cs="宋体"/>
          <w:kern w:val="0"/>
          <w:sz w:val="24"/>
          <w:szCs w:val="24"/>
          <w:highlight w:val="none"/>
          <w:u w:val="single"/>
        </w:rPr>
        <w:t>承包人为其施工设备等办理财产保险</w:t>
      </w:r>
      <w:r>
        <w:rPr>
          <w:rFonts w:hint="eastAsia" w:ascii="宋体" w:hAnsi="宋体" w:eastAsia="宋体" w:cs="宋体"/>
          <w:color w:val="000000"/>
          <w:sz w:val="24"/>
          <w:szCs w:val="24"/>
          <w:highlight w:val="none"/>
        </w:rPr>
        <w:t>。</w:t>
      </w:r>
    </w:p>
    <w:p w14:paraId="68660924">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18.7 通知义务</w:t>
      </w:r>
    </w:p>
    <w:p w14:paraId="3851A9C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关于变更保险合同时的通知义务的约定：</w:t>
      </w:r>
      <w:r>
        <w:rPr>
          <w:rFonts w:hint="eastAsia" w:ascii="宋体" w:hAnsi="宋体" w:eastAsia="宋体" w:cs="宋体"/>
          <w:sz w:val="24"/>
          <w:szCs w:val="24"/>
          <w:highlight w:val="none"/>
          <w:u w:val="single"/>
        </w:rPr>
        <w:t>变更前应事先征得对方同意并通知监理人</w:t>
      </w:r>
      <w:r>
        <w:rPr>
          <w:rFonts w:hint="eastAsia" w:ascii="宋体" w:hAnsi="宋体" w:eastAsia="宋体" w:cs="宋体"/>
          <w:color w:val="000000"/>
          <w:sz w:val="24"/>
          <w:szCs w:val="24"/>
          <w:highlight w:val="none"/>
        </w:rPr>
        <w:t>。</w:t>
      </w:r>
    </w:p>
    <w:bookmarkEnd w:id="616"/>
    <w:bookmarkEnd w:id="617"/>
    <w:bookmarkEnd w:id="618"/>
    <w:bookmarkEnd w:id="619"/>
    <w:bookmarkEnd w:id="620"/>
    <w:bookmarkEnd w:id="621"/>
    <w:bookmarkEnd w:id="622"/>
    <w:bookmarkEnd w:id="623"/>
    <w:bookmarkEnd w:id="624"/>
    <w:bookmarkEnd w:id="625"/>
    <w:bookmarkEnd w:id="626"/>
    <w:bookmarkEnd w:id="627"/>
    <w:p w14:paraId="20798604">
      <w:pPr>
        <w:pageBreakBefore w:val="0"/>
        <w:kinsoku/>
        <w:wordWrap/>
        <w:overflowPunct/>
        <w:topLinePunct w:val="0"/>
        <w:bidi w:val="0"/>
        <w:spacing w:before="120" w:after="120" w:line="360" w:lineRule="auto"/>
        <w:textAlignment w:val="auto"/>
        <w:outlineLvl w:val="9"/>
        <w:rPr>
          <w:rFonts w:hint="eastAsia" w:ascii="宋体" w:hAnsi="宋体" w:eastAsia="宋体" w:cs="宋体"/>
          <w:b w:val="0"/>
          <w:color w:val="000000"/>
          <w:sz w:val="24"/>
          <w:szCs w:val="24"/>
          <w:highlight w:val="none"/>
        </w:rPr>
      </w:pPr>
      <w:bookmarkStart w:id="667" w:name="_Toc351203651"/>
      <w:r>
        <w:rPr>
          <w:rFonts w:hint="eastAsia" w:ascii="宋体" w:hAnsi="宋体" w:eastAsia="宋体" w:cs="宋体"/>
          <w:b w:val="0"/>
          <w:color w:val="000000"/>
          <w:sz w:val="24"/>
          <w:szCs w:val="24"/>
          <w:highlight w:val="none"/>
        </w:rPr>
        <w:t>20. 争议解决</w:t>
      </w:r>
      <w:bookmarkEnd w:id="667"/>
    </w:p>
    <w:bookmarkEnd w:id="628"/>
    <w:bookmarkEnd w:id="629"/>
    <w:p w14:paraId="43A2412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68" w:name="_Toc8781"/>
      <w:bookmarkStart w:id="669" w:name="_Toc29410"/>
      <w:bookmarkStart w:id="670" w:name="_Toc18548"/>
      <w:r>
        <w:rPr>
          <w:rFonts w:hint="eastAsia" w:ascii="宋体" w:hAnsi="宋体" w:eastAsia="宋体" w:cs="宋体"/>
          <w:color w:val="000000"/>
          <w:sz w:val="24"/>
          <w:szCs w:val="24"/>
          <w:highlight w:val="none"/>
        </w:rPr>
        <w:t>20.3 争</w:t>
      </w:r>
      <w:bookmarkEnd w:id="630"/>
      <w:r>
        <w:rPr>
          <w:rFonts w:hint="eastAsia" w:ascii="宋体" w:hAnsi="宋体" w:eastAsia="宋体" w:cs="宋体"/>
          <w:color w:val="000000"/>
          <w:sz w:val="24"/>
          <w:szCs w:val="24"/>
          <w:highlight w:val="none"/>
        </w:rPr>
        <w:t>议评审</w:t>
      </w:r>
      <w:bookmarkEnd w:id="668"/>
      <w:bookmarkEnd w:id="669"/>
      <w:bookmarkEnd w:id="670"/>
    </w:p>
    <w:p w14:paraId="5E7D4BDC">
      <w:pPr>
        <w:pageBreakBefore w:val="0"/>
        <w:kinsoku/>
        <w:wordWrap/>
        <w:overflowPunct/>
        <w:topLinePunct w:val="0"/>
        <w:bidi w:val="0"/>
        <w:spacing w:line="360" w:lineRule="auto"/>
        <w:ind w:left="199" w:leftChars="71" w:firstLine="360" w:firstLineChars="15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合同当事人是否同意将工程争议提交争议评审小组决定：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8D70FAB">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671" w:name="_Toc18880"/>
      <w:bookmarkStart w:id="672" w:name="_Toc23662"/>
      <w:bookmarkStart w:id="673" w:name="_Toc24214"/>
      <w:r>
        <w:rPr>
          <w:rFonts w:hint="eastAsia" w:ascii="宋体" w:hAnsi="宋体" w:eastAsia="宋体" w:cs="宋体"/>
          <w:color w:val="000000"/>
          <w:sz w:val="24"/>
          <w:szCs w:val="24"/>
          <w:highlight w:val="none"/>
        </w:rPr>
        <w:t>20.3.1 争议评审小组的确定</w:t>
      </w:r>
      <w:bookmarkEnd w:id="671"/>
      <w:bookmarkEnd w:id="672"/>
      <w:bookmarkEnd w:id="673"/>
    </w:p>
    <w:p w14:paraId="3D9F3058">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争议评审小组成员的确定：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4C06973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选定争议评审员的期限：</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53CBDCD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争议评审小组成员的报酬承担方式：</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4C0E6D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其他事项的约定：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401916F9">
      <w:pPr>
        <w:pageBreakBefore w:val="0"/>
        <w:kinsoku/>
        <w:wordWrap/>
        <w:overflowPunct/>
        <w:topLinePunct w:val="0"/>
        <w:autoSpaceDE w:val="0"/>
        <w:autoSpaceDN w:val="0"/>
        <w:bidi w:val="0"/>
        <w:adjustRightInd w:val="0"/>
        <w:spacing w:line="360" w:lineRule="auto"/>
        <w:ind w:firstLine="480" w:firstLineChars="200"/>
        <w:jc w:val="left"/>
        <w:textAlignment w:val="auto"/>
        <w:outlineLvl w:val="9"/>
        <w:rPr>
          <w:rFonts w:hint="eastAsia" w:ascii="宋体" w:hAnsi="宋体" w:eastAsia="宋体" w:cs="宋体"/>
          <w:color w:val="000000"/>
          <w:kern w:val="0"/>
          <w:sz w:val="24"/>
          <w:szCs w:val="24"/>
          <w:highlight w:val="none"/>
        </w:rPr>
      </w:pPr>
      <w:bookmarkStart w:id="674" w:name="_Toc17793"/>
      <w:bookmarkStart w:id="675" w:name="_Toc2634"/>
      <w:bookmarkStart w:id="676" w:name="_Toc27134"/>
      <w:r>
        <w:rPr>
          <w:rFonts w:hint="eastAsia" w:ascii="宋体" w:hAnsi="宋体" w:eastAsia="宋体" w:cs="宋体"/>
          <w:color w:val="000000"/>
          <w:kern w:val="0"/>
          <w:sz w:val="24"/>
          <w:szCs w:val="24"/>
          <w:highlight w:val="none"/>
        </w:rPr>
        <w:t>20.3.2 争议评审小组的决定</w:t>
      </w:r>
      <w:bookmarkEnd w:id="674"/>
      <w:bookmarkEnd w:id="675"/>
      <w:bookmarkEnd w:id="676"/>
    </w:p>
    <w:p w14:paraId="4C8BDE4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合同当事人关于本项的约定：</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20D8306B">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bookmarkStart w:id="677" w:name="_Toc21675"/>
      <w:bookmarkStart w:id="678" w:name="_Toc27625"/>
      <w:bookmarkStart w:id="679" w:name="_Toc18751"/>
      <w:r>
        <w:rPr>
          <w:rFonts w:hint="eastAsia" w:ascii="宋体" w:hAnsi="宋体" w:eastAsia="宋体" w:cs="宋体"/>
          <w:color w:val="000000"/>
          <w:sz w:val="24"/>
          <w:szCs w:val="24"/>
          <w:highlight w:val="none"/>
        </w:rPr>
        <w:t>20.4仲裁或诉讼</w:t>
      </w:r>
      <w:bookmarkEnd w:id="631"/>
      <w:bookmarkEnd w:id="677"/>
      <w:bookmarkEnd w:id="678"/>
      <w:bookmarkEnd w:id="679"/>
    </w:p>
    <w:p w14:paraId="07EB8153">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（2）</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种方式解决：</w:t>
      </w:r>
    </w:p>
    <w:p w14:paraId="68819CA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rPr>
        <w:t>仲裁委员会申请仲裁；</w:t>
      </w:r>
    </w:p>
    <w:p w14:paraId="34D65E3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sz w:val="24"/>
          <w:szCs w:val="24"/>
          <w:highlight w:val="none"/>
          <w:u w:val="single"/>
        </w:rPr>
        <w:t>工程所在地由管辖权</w:t>
      </w:r>
      <w:r>
        <w:rPr>
          <w:rFonts w:hint="eastAsia" w:ascii="宋体" w:hAnsi="宋体" w:eastAsia="宋体" w:cs="宋体"/>
          <w:color w:val="000000"/>
          <w:sz w:val="24"/>
          <w:szCs w:val="24"/>
          <w:highlight w:val="none"/>
        </w:rPr>
        <w:t>人民法院起诉。</w:t>
      </w:r>
      <w:bookmarkEnd w:id="632"/>
      <w:bookmarkEnd w:id="633"/>
      <w:bookmarkEnd w:id="634"/>
      <w:bookmarkEnd w:id="635"/>
      <w:bookmarkEnd w:id="636"/>
      <w:bookmarkEnd w:id="637"/>
    </w:p>
    <w:p w14:paraId="4EA83A53">
      <w:pPr>
        <w:pageBreakBefore w:val="0"/>
        <w:kinsoku/>
        <w:wordWrap/>
        <w:overflowPunct/>
        <w:topLinePunct w:val="0"/>
        <w:bidi w:val="0"/>
        <w:spacing w:line="360" w:lineRule="auto"/>
        <w:jc w:val="left"/>
        <w:textAlignment w:val="auto"/>
        <w:outlineLvl w:val="9"/>
        <w:rPr>
          <w:rFonts w:hint="eastAsia" w:ascii="宋体" w:hAnsi="宋体" w:eastAsia="宋体" w:cs="宋体"/>
          <w:b/>
          <w:color w:val="000000"/>
          <w:sz w:val="24"/>
          <w:szCs w:val="24"/>
          <w:highlight w:val="none"/>
        </w:rPr>
      </w:pPr>
      <w:r>
        <w:rPr>
          <w:rFonts w:hint="eastAsia" w:ascii="宋体" w:hAnsi="宋体" w:eastAsia="宋体" w:cs="宋体"/>
          <w:color w:val="000000"/>
          <w:sz w:val="28"/>
          <w:szCs w:val="28"/>
          <w:highlight w:val="none"/>
        </w:rPr>
        <w:br w:type="page"/>
      </w:r>
      <w:bookmarkStart w:id="680" w:name="_Toc351203652"/>
      <w:r>
        <w:rPr>
          <w:rFonts w:hint="eastAsia" w:ascii="宋体" w:hAnsi="宋体" w:eastAsia="宋体" w:cs="宋体"/>
          <w:b/>
          <w:color w:val="000000"/>
          <w:sz w:val="24"/>
          <w:szCs w:val="24"/>
          <w:highlight w:val="none"/>
        </w:rPr>
        <w:t>附件</w:t>
      </w:r>
      <w:bookmarkEnd w:id="680"/>
    </w:p>
    <w:p w14:paraId="061A5671">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协议书附件：</w:t>
      </w:r>
    </w:p>
    <w:p w14:paraId="6AFC9D57">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附件1：承包人承揽工程项目一览表</w:t>
      </w:r>
    </w:p>
    <w:p w14:paraId="4834DFA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专用合同条款附件：</w:t>
      </w:r>
    </w:p>
    <w:p w14:paraId="68D3085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附件2：发包人供应材料设备一览表</w:t>
      </w:r>
    </w:p>
    <w:p w14:paraId="04DD76E4">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附件3：工程质量保修书</w:t>
      </w:r>
    </w:p>
    <w:p w14:paraId="44F2EC96">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附件4：主要建设工程文件目录</w:t>
      </w:r>
    </w:p>
    <w:p w14:paraId="78824458">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附件5：承包人用于本工程施工的机械设备表</w:t>
      </w:r>
    </w:p>
    <w:p w14:paraId="562E093C">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附件6：承包人主要施工管理人员表</w:t>
      </w:r>
    </w:p>
    <w:p w14:paraId="6A86EEE9">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附件7：分包人主要施工管理人员表</w:t>
      </w:r>
    </w:p>
    <w:p w14:paraId="6D4076AA">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附件8：履约担保格式</w:t>
      </w:r>
    </w:p>
    <w:p w14:paraId="4C83A568">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附件9：预付款担保格式</w:t>
      </w:r>
    </w:p>
    <w:p w14:paraId="3B56B2C9">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附件10：支付担保格式</w:t>
      </w:r>
    </w:p>
    <w:p w14:paraId="5827FA98">
      <w:pPr>
        <w:pageBreakBefore w:val="0"/>
        <w:kinsoku/>
        <w:wordWrap/>
        <w:overflowPunct/>
        <w:topLinePunct w:val="0"/>
        <w:bidi w:val="0"/>
        <w:spacing w:line="360" w:lineRule="auto"/>
        <w:jc w:val="left"/>
        <w:textAlignment w:val="auto"/>
        <w:outlineLvl w:val="9"/>
        <w:rPr>
          <w:rFonts w:hint="eastAsia" w:ascii="宋体" w:hAnsi="宋体" w:eastAsia="宋体" w:cs="宋体"/>
          <w:color w:val="000000"/>
          <w:sz w:val="24"/>
          <w:szCs w:val="24"/>
          <w:highlight w:val="none"/>
        </w:rPr>
        <w:sectPr>
          <w:footerReference r:id="rId6" w:type="first"/>
          <w:pgSz w:w="11906" w:h="16838"/>
          <w:pgMar w:top="1418" w:right="1416" w:bottom="1418" w:left="1531" w:header="851" w:footer="992" w:gutter="0"/>
          <w:pgNumType w:fmt="decimal"/>
          <w:cols w:space="720" w:num="1"/>
          <w:titlePg/>
          <w:docGrid w:type="lines" w:linePitch="312" w:charSpace="0"/>
        </w:sectPr>
      </w:pPr>
    </w:p>
    <w:p w14:paraId="16150182">
      <w:pPr>
        <w:pageBreakBefore w:val="0"/>
        <w:kinsoku/>
        <w:wordWrap/>
        <w:overflowPunct/>
        <w:topLinePunct w:val="0"/>
        <w:bidi w:val="0"/>
        <w:spacing w:before="156" w:beforeLines="50" w:after="156" w:afterLines="50" w:line="440" w:lineRule="exact"/>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附件1：</w:t>
      </w:r>
    </w:p>
    <w:p w14:paraId="43F16773">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承包人承揽工程项目一览表</w:t>
      </w:r>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EFFB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F3D658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单位工程名称</w:t>
            </w:r>
          </w:p>
        </w:tc>
        <w:tc>
          <w:tcPr>
            <w:tcW w:w="1843" w:type="dxa"/>
            <w:tcBorders>
              <w:top w:val="single" w:color="auto" w:sz="12" w:space="0"/>
              <w:bottom w:val="double" w:color="auto" w:sz="6" w:space="0"/>
            </w:tcBorders>
            <w:noWrap w:val="0"/>
            <w:vAlign w:val="center"/>
          </w:tcPr>
          <w:p w14:paraId="5250F0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建设规模</w:t>
            </w:r>
          </w:p>
        </w:tc>
        <w:tc>
          <w:tcPr>
            <w:tcW w:w="1417" w:type="dxa"/>
            <w:tcBorders>
              <w:top w:val="single" w:color="auto" w:sz="12" w:space="0"/>
              <w:bottom w:val="double" w:color="auto" w:sz="6" w:space="0"/>
            </w:tcBorders>
            <w:noWrap w:val="0"/>
            <w:vAlign w:val="center"/>
          </w:tcPr>
          <w:p w14:paraId="0D6F076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建筑面积(平方米)</w:t>
            </w:r>
          </w:p>
        </w:tc>
        <w:tc>
          <w:tcPr>
            <w:tcW w:w="2410" w:type="dxa"/>
            <w:tcBorders>
              <w:top w:val="single" w:color="auto" w:sz="12" w:space="0"/>
              <w:bottom w:val="double" w:color="auto" w:sz="6" w:space="0"/>
            </w:tcBorders>
            <w:noWrap w:val="0"/>
            <w:vAlign w:val="center"/>
          </w:tcPr>
          <w:p w14:paraId="0F85881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结构形式</w:t>
            </w:r>
          </w:p>
        </w:tc>
        <w:tc>
          <w:tcPr>
            <w:tcW w:w="850" w:type="dxa"/>
            <w:tcBorders>
              <w:top w:val="single" w:color="auto" w:sz="12" w:space="0"/>
              <w:bottom w:val="double" w:color="auto" w:sz="6" w:space="0"/>
            </w:tcBorders>
            <w:noWrap w:val="0"/>
            <w:vAlign w:val="center"/>
          </w:tcPr>
          <w:p w14:paraId="452ABD9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层数</w:t>
            </w:r>
          </w:p>
        </w:tc>
        <w:tc>
          <w:tcPr>
            <w:tcW w:w="1560" w:type="dxa"/>
            <w:tcBorders>
              <w:top w:val="single" w:color="auto" w:sz="12" w:space="0"/>
              <w:bottom w:val="double" w:color="auto" w:sz="6" w:space="0"/>
            </w:tcBorders>
            <w:noWrap w:val="0"/>
            <w:vAlign w:val="center"/>
          </w:tcPr>
          <w:p w14:paraId="60DC49D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生产能力</w:t>
            </w:r>
          </w:p>
        </w:tc>
        <w:tc>
          <w:tcPr>
            <w:tcW w:w="2126" w:type="dxa"/>
            <w:tcBorders>
              <w:top w:val="single" w:color="auto" w:sz="12" w:space="0"/>
              <w:bottom w:val="double" w:color="auto" w:sz="6" w:space="0"/>
            </w:tcBorders>
            <w:noWrap w:val="0"/>
            <w:vAlign w:val="center"/>
          </w:tcPr>
          <w:p w14:paraId="1220C9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设备安装内容</w:t>
            </w:r>
          </w:p>
        </w:tc>
        <w:tc>
          <w:tcPr>
            <w:tcW w:w="1417" w:type="dxa"/>
            <w:tcBorders>
              <w:top w:val="single" w:color="auto" w:sz="12" w:space="0"/>
              <w:bottom w:val="double" w:color="auto" w:sz="6" w:space="0"/>
            </w:tcBorders>
            <w:noWrap w:val="0"/>
            <w:vAlign w:val="center"/>
          </w:tcPr>
          <w:p w14:paraId="60D5856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合同价格（元）</w:t>
            </w:r>
          </w:p>
        </w:tc>
        <w:tc>
          <w:tcPr>
            <w:tcW w:w="851" w:type="dxa"/>
            <w:tcBorders>
              <w:top w:val="single" w:color="auto" w:sz="12" w:space="0"/>
              <w:bottom w:val="double" w:color="auto" w:sz="6" w:space="0"/>
            </w:tcBorders>
            <w:noWrap w:val="0"/>
            <w:vAlign w:val="center"/>
          </w:tcPr>
          <w:p w14:paraId="04FC97E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开工日期</w:t>
            </w:r>
          </w:p>
        </w:tc>
        <w:tc>
          <w:tcPr>
            <w:tcW w:w="850" w:type="dxa"/>
            <w:tcBorders>
              <w:top w:val="single" w:color="auto" w:sz="12" w:space="0"/>
              <w:bottom w:val="double" w:color="auto" w:sz="6" w:space="0"/>
            </w:tcBorders>
            <w:noWrap w:val="0"/>
            <w:vAlign w:val="center"/>
          </w:tcPr>
          <w:p w14:paraId="0F4A0A0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竣工日期</w:t>
            </w:r>
          </w:p>
        </w:tc>
      </w:tr>
      <w:tr w14:paraId="0C2085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7AA6F30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double" w:color="auto" w:sz="6" w:space="0"/>
              <w:bottom w:val="single" w:color="auto" w:sz="6" w:space="0"/>
            </w:tcBorders>
            <w:noWrap w:val="0"/>
            <w:vAlign w:val="center"/>
          </w:tcPr>
          <w:p w14:paraId="042A04B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double" w:color="auto" w:sz="6" w:space="0"/>
              <w:bottom w:val="single" w:color="auto" w:sz="6" w:space="0"/>
            </w:tcBorders>
            <w:noWrap w:val="0"/>
            <w:vAlign w:val="center"/>
          </w:tcPr>
          <w:p w14:paraId="57F6D70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double" w:color="auto" w:sz="6" w:space="0"/>
              <w:bottom w:val="single" w:color="auto" w:sz="6" w:space="0"/>
            </w:tcBorders>
            <w:noWrap w:val="0"/>
            <w:vAlign w:val="center"/>
          </w:tcPr>
          <w:p w14:paraId="1FA511F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double" w:color="auto" w:sz="6" w:space="0"/>
              <w:bottom w:val="single" w:color="auto" w:sz="6" w:space="0"/>
            </w:tcBorders>
            <w:noWrap w:val="0"/>
            <w:vAlign w:val="center"/>
          </w:tcPr>
          <w:p w14:paraId="6D04E96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double" w:color="auto" w:sz="6" w:space="0"/>
              <w:bottom w:val="single" w:color="auto" w:sz="6" w:space="0"/>
            </w:tcBorders>
            <w:noWrap w:val="0"/>
            <w:vAlign w:val="center"/>
          </w:tcPr>
          <w:p w14:paraId="760F31A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double" w:color="auto" w:sz="6" w:space="0"/>
              <w:bottom w:val="single" w:color="auto" w:sz="6" w:space="0"/>
            </w:tcBorders>
            <w:noWrap w:val="0"/>
            <w:vAlign w:val="center"/>
          </w:tcPr>
          <w:p w14:paraId="1D54205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double" w:color="auto" w:sz="6" w:space="0"/>
              <w:bottom w:val="single" w:color="auto" w:sz="6" w:space="0"/>
            </w:tcBorders>
            <w:noWrap w:val="0"/>
            <w:vAlign w:val="center"/>
          </w:tcPr>
          <w:p w14:paraId="64F9EB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double" w:color="auto" w:sz="6" w:space="0"/>
              <w:bottom w:val="single" w:color="auto" w:sz="6" w:space="0"/>
            </w:tcBorders>
            <w:noWrap w:val="0"/>
            <w:vAlign w:val="center"/>
          </w:tcPr>
          <w:p w14:paraId="6B8E105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double" w:color="auto" w:sz="6" w:space="0"/>
              <w:bottom w:val="single" w:color="auto" w:sz="6" w:space="0"/>
            </w:tcBorders>
            <w:noWrap w:val="0"/>
            <w:vAlign w:val="center"/>
          </w:tcPr>
          <w:p w14:paraId="095FE99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798E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98F548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42E88CF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75FEBB5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163567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2EBFA30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07DA660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761EC9A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065AED1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5299C2C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1505BE4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54F6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CD3CB6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3FC2630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666DBE2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60A0416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394562D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2ED0310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1390BB7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4C359EC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2E360B8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20E8F3F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229C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4C3FF5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noWrap w:val="0"/>
            <w:vAlign w:val="center"/>
          </w:tcPr>
          <w:p w14:paraId="41CD6C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16A6FF6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noWrap w:val="0"/>
            <w:vAlign w:val="center"/>
          </w:tcPr>
          <w:p w14:paraId="2B34DCB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08AA11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noWrap w:val="0"/>
            <w:vAlign w:val="center"/>
          </w:tcPr>
          <w:p w14:paraId="504E3F5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noWrap w:val="0"/>
            <w:vAlign w:val="center"/>
          </w:tcPr>
          <w:p w14:paraId="47A9410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4FB7EF2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noWrap w:val="0"/>
            <w:vAlign w:val="center"/>
          </w:tcPr>
          <w:p w14:paraId="3FB28C3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1F9D8E8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3B05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EF8CDA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41CCE9D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53C5329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42C2E4F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7A4D366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09FCF76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58EBAC8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57167F1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49A5E04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292240D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3602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3C6BD0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46E4C3A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79FB24C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4C462B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6CA53E8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2895C88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544DBFC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79B4DFE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01D3348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19BC53B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914DB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C8AA9A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6CFAA77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57188A9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0787ADF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73EB95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4F4F05E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62FA378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60BA5A8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4E67BD6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055921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C5AD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A3C80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noWrap w:val="0"/>
            <w:vAlign w:val="center"/>
          </w:tcPr>
          <w:p w14:paraId="7EF6D73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27DB4E6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noWrap w:val="0"/>
            <w:vAlign w:val="center"/>
          </w:tcPr>
          <w:p w14:paraId="7FE7301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39FAA3F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noWrap w:val="0"/>
            <w:vAlign w:val="center"/>
          </w:tcPr>
          <w:p w14:paraId="18BB1E7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noWrap w:val="0"/>
            <w:vAlign w:val="center"/>
          </w:tcPr>
          <w:p w14:paraId="133ED41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1C2C94E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noWrap w:val="0"/>
            <w:vAlign w:val="center"/>
          </w:tcPr>
          <w:p w14:paraId="5FB0940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1585F21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9B135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4E70C8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tcBorders>
              <w:top w:val="nil"/>
            </w:tcBorders>
            <w:noWrap w:val="0"/>
            <w:vAlign w:val="center"/>
          </w:tcPr>
          <w:p w14:paraId="55388F5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2195EB3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tcBorders>
              <w:top w:val="nil"/>
            </w:tcBorders>
            <w:noWrap w:val="0"/>
            <w:vAlign w:val="center"/>
          </w:tcPr>
          <w:p w14:paraId="57DA750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51A28BF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tcBorders>
              <w:top w:val="nil"/>
            </w:tcBorders>
            <w:noWrap w:val="0"/>
            <w:vAlign w:val="center"/>
          </w:tcPr>
          <w:p w14:paraId="57037C1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tcBorders>
              <w:top w:val="nil"/>
            </w:tcBorders>
            <w:noWrap w:val="0"/>
            <w:vAlign w:val="center"/>
          </w:tcPr>
          <w:p w14:paraId="4FA3A33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tcBorders>
              <w:top w:val="nil"/>
            </w:tcBorders>
            <w:noWrap w:val="0"/>
            <w:vAlign w:val="center"/>
          </w:tcPr>
          <w:p w14:paraId="48EBFBA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tcBorders>
              <w:top w:val="nil"/>
            </w:tcBorders>
            <w:noWrap w:val="0"/>
            <w:vAlign w:val="center"/>
          </w:tcPr>
          <w:p w14:paraId="2038310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tcBorders>
              <w:top w:val="nil"/>
            </w:tcBorders>
            <w:noWrap w:val="0"/>
            <w:vAlign w:val="center"/>
          </w:tcPr>
          <w:p w14:paraId="65B94E7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F0D2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4B4027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843" w:type="dxa"/>
            <w:noWrap w:val="0"/>
            <w:vAlign w:val="center"/>
          </w:tcPr>
          <w:p w14:paraId="2F64373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2599A02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410" w:type="dxa"/>
            <w:noWrap w:val="0"/>
            <w:vAlign w:val="center"/>
          </w:tcPr>
          <w:p w14:paraId="0B81A03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295F49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560" w:type="dxa"/>
            <w:noWrap w:val="0"/>
            <w:vAlign w:val="center"/>
          </w:tcPr>
          <w:p w14:paraId="0335279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2126" w:type="dxa"/>
            <w:noWrap w:val="0"/>
            <w:vAlign w:val="center"/>
          </w:tcPr>
          <w:p w14:paraId="663860C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7" w:type="dxa"/>
            <w:noWrap w:val="0"/>
            <w:vAlign w:val="center"/>
          </w:tcPr>
          <w:p w14:paraId="38945A1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1" w:type="dxa"/>
            <w:noWrap w:val="0"/>
            <w:vAlign w:val="center"/>
          </w:tcPr>
          <w:p w14:paraId="78901C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50" w:type="dxa"/>
            <w:noWrap w:val="0"/>
            <w:vAlign w:val="center"/>
          </w:tcPr>
          <w:p w14:paraId="1BB0D12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bl>
    <w:p w14:paraId="57B3BC65">
      <w:pPr>
        <w:pageBreakBefore w:val="0"/>
        <w:kinsoku/>
        <w:wordWrap/>
        <w:overflowPunct/>
        <w:topLinePunct w:val="0"/>
        <w:bidi w:val="0"/>
        <w:spacing w:line="440" w:lineRule="exact"/>
        <w:textAlignment w:val="auto"/>
        <w:outlineLvl w:val="9"/>
        <w:rPr>
          <w:rFonts w:hint="eastAsia" w:ascii="宋体" w:hAnsi="宋体" w:eastAsia="宋体" w:cs="宋体"/>
          <w:b/>
          <w:color w:val="000000"/>
          <w:sz w:val="24"/>
          <w:szCs w:val="24"/>
          <w:highlight w:val="none"/>
        </w:rPr>
        <w:sectPr>
          <w:footerReference r:id="rId8" w:type="first"/>
          <w:footerReference r:id="rId7" w:type="default"/>
          <w:pgSz w:w="16838" w:h="11906" w:orient="landscape"/>
          <w:pgMar w:top="1554" w:right="1418" w:bottom="1531" w:left="1418" w:header="851" w:footer="992" w:gutter="0"/>
          <w:pgNumType w:fmt="decimal"/>
          <w:cols w:space="720" w:num="1"/>
          <w:titlePg/>
          <w:docGrid w:type="linesAndChars" w:linePitch="312" w:charSpace="0"/>
        </w:sectPr>
      </w:pPr>
    </w:p>
    <w:p w14:paraId="65FAAB29">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w:t>
      </w:r>
      <w:bookmarkStart w:id="681" w:name="_Toc296891265"/>
      <w:bookmarkStart w:id="682" w:name="_Toc296346726"/>
      <w:bookmarkStart w:id="683" w:name="_Toc296347224"/>
      <w:bookmarkStart w:id="684" w:name="_Toc296891053"/>
      <w:bookmarkStart w:id="685" w:name="_Toc296503225"/>
      <w:bookmarkStart w:id="686" w:name="_Toc296944564"/>
      <w:bookmarkStart w:id="687" w:name="_Toc267261692"/>
      <w:r>
        <w:rPr>
          <w:rFonts w:hint="eastAsia" w:ascii="宋体" w:hAnsi="宋体" w:eastAsia="宋体" w:cs="宋体"/>
          <w:color w:val="000000"/>
          <w:sz w:val="24"/>
          <w:szCs w:val="24"/>
          <w:highlight w:val="none"/>
        </w:rPr>
        <w:t>件2：</w:t>
      </w:r>
    </w:p>
    <w:bookmarkEnd w:id="681"/>
    <w:bookmarkEnd w:id="682"/>
    <w:bookmarkEnd w:id="683"/>
    <w:bookmarkEnd w:id="684"/>
    <w:bookmarkEnd w:id="685"/>
    <w:bookmarkEnd w:id="686"/>
    <w:bookmarkEnd w:id="687"/>
    <w:p w14:paraId="7460B50B">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发包人供应材料设备一览表</w:t>
      </w:r>
    </w:p>
    <w:tbl>
      <w:tblPr>
        <w:tblStyle w:val="10"/>
        <w:tblW w:w="986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3"/>
        <w:gridCol w:w="1204"/>
        <w:gridCol w:w="1338"/>
        <w:gridCol w:w="887"/>
        <w:gridCol w:w="803"/>
        <w:gridCol w:w="985"/>
        <w:gridCol w:w="936"/>
        <w:gridCol w:w="803"/>
        <w:gridCol w:w="1161"/>
        <w:gridCol w:w="943"/>
      </w:tblGrid>
      <w:tr w14:paraId="22CE2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03" w:type="dxa"/>
            <w:tcBorders>
              <w:top w:val="single" w:color="auto" w:sz="12" w:space="0"/>
              <w:bottom w:val="double" w:color="auto" w:sz="6" w:space="0"/>
            </w:tcBorders>
            <w:noWrap w:val="0"/>
            <w:vAlign w:val="center"/>
          </w:tcPr>
          <w:p w14:paraId="62297E7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序号</w:t>
            </w:r>
          </w:p>
        </w:tc>
        <w:tc>
          <w:tcPr>
            <w:tcW w:w="1204" w:type="dxa"/>
            <w:tcBorders>
              <w:top w:val="single" w:color="auto" w:sz="12" w:space="0"/>
              <w:bottom w:val="double" w:color="auto" w:sz="6" w:space="0"/>
            </w:tcBorders>
            <w:noWrap w:val="0"/>
            <w:vAlign w:val="center"/>
          </w:tcPr>
          <w:p w14:paraId="1FF6D50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材料、</w:t>
            </w:r>
          </w:p>
          <w:p w14:paraId="31C15FB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设备品种</w:t>
            </w:r>
          </w:p>
        </w:tc>
        <w:tc>
          <w:tcPr>
            <w:tcW w:w="1338" w:type="dxa"/>
            <w:tcBorders>
              <w:top w:val="single" w:color="auto" w:sz="12" w:space="0"/>
              <w:bottom w:val="double" w:color="auto" w:sz="6" w:space="0"/>
            </w:tcBorders>
            <w:noWrap w:val="0"/>
            <w:vAlign w:val="center"/>
          </w:tcPr>
          <w:p w14:paraId="72E285B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规格型号</w:t>
            </w:r>
          </w:p>
        </w:tc>
        <w:tc>
          <w:tcPr>
            <w:tcW w:w="887" w:type="dxa"/>
            <w:tcBorders>
              <w:top w:val="single" w:color="auto" w:sz="12" w:space="0"/>
              <w:bottom w:val="double" w:color="auto" w:sz="6" w:space="0"/>
            </w:tcBorders>
            <w:noWrap w:val="0"/>
            <w:vAlign w:val="center"/>
          </w:tcPr>
          <w:p w14:paraId="1BF1501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w:t>
            </w:r>
          </w:p>
        </w:tc>
        <w:tc>
          <w:tcPr>
            <w:tcW w:w="803" w:type="dxa"/>
            <w:tcBorders>
              <w:top w:val="single" w:color="auto" w:sz="12" w:space="0"/>
              <w:bottom w:val="double" w:color="auto" w:sz="6" w:space="0"/>
            </w:tcBorders>
            <w:noWrap w:val="0"/>
            <w:vAlign w:val="center"/>
          </w:tcPr>
          <w:p w14:paraId="5EA4E10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数量</w:t>
            </w:r>
          </w:p>
        </w:tc>
        <w:tc>
          <w:tcPr>
            <w:tcW w:w="985" w:type="dxa"/>
            <w:tcBorders>
              <w:top w:val="single" w:color="auto" w:sz="12" w:space="0"/>
              <w:bottom w:val="double" w:color="auto" w:sz="6" w:space="0"/>
            </w:tcBorders>
            <w:noWrap w:val="0"/>
            <w:vAlign w:val="center"/>
          </w:tcPr>
          <w:p w14:paraId="142E081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单价（元）</w:t>
            </w:r>
          </w:p>
        </w:tc>
        <w:tc>
          <w:tcPr>
            <w:tcW w:w="936" w:type="dxa"/>
            <w:tcBorders>
              <w:top w:val="single" w:color="auto" w:sz="12" w:space="0"/>
              <w:bottom w:val="double" w:color="auto" w:sz="6" w:space="0"/>
            </w:tcBorders>
            <w:noWrap w:val="0"/>
            <w:vAlign w:val="center"/>
          </w:tcPr>
          <w:p w14:paraId="15179B7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质量等级</w:t>
            </w:r>
          </w:p>
        </w:tc>
        <w:tc>
          <w:tcPr>
            <w:tcW w:w="803" w:type="dxa"/>
            <w:tcBorders>
              <w:top w:val="single" w:color="auto" w:sz="12" w:space="0"/>
              <w:bottom w:val="double" w:color="auto" w:sz="6" w:space="0"/>
            </w:tcBorders>
            <w:noWrap w:val="0"/>
            <w:vAlign w:val="center"/>
          </w:tcPr>
          <w:p w14:paraId="4CB237A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供应时间</w:t>
            </w:r>
          </w:p>
        </w:tc>
        <w:tc>
          <w:tcPr>
            <w:tcW w:w="1161" w:type="dxa"/>
            <w:tcBorders>
              <w:top w:val="single" w:color="auto" w:sz="12" w:space="0"/>
              <w:bottom w:val="double" w:color="auto" w:sz="6" w:space="0"/>
            </w:tcBorders>
            <w:noWrap w:val="0"/>
            <w:vAlign w:val="center"/>
          </w:tcPr>
          <w:p w14:paraId="52C112E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送达地点</w:t>
            </w:r>
          </w:p>
        </w:tc>
        <w:tc>
          <w:tcPr>
            <w:tcW w:w="943" w:type="dxa"/>
            <w:tcBorders>
              <w:top w:val="single" w:color="auto" w:sz="12" w:space="0"/>
              <w:bottom w:val="double" w:color="auto" w:sz="6" w:space="0"/>
            </w:tcBorders>
            <w:noWrap w:val="0"/>
            <w:vAlign w:val="center"/>
          </w:tcPr>
          <w:p w14:paraId="6E44109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备注</w:t>
            </w:r>
          </w:p>
        </w:tc>
      </w:tr>
      <w:tr w14:paraId="29F81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tcBorders>
              <w:top w:val="double" w:color="auto" w:sz="6" w:space="0"/>
              <w:bottom w:val="single" w:color="auto" w:sz="6" w:space="0"/>
            </w:tcBorders>
            <w:noWrap w:val="0"/>
            <w:vAlign w:val="center"/>
          </w:tcPr>
          <w:p w14:paraId="039AF4A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tcBorders>
              <w:top w:val="double" w:color="auto" w:sz="6" w:space="0"/>
              <w:bottom w:val="single" w:color="auto" w:sz="6" w:space="0"/>
            </w:tcBorders>
            <w:noWrap w:val="0"/>
            <w:vAlign w:val="center"/>
          </w:tcPr>
          <w:p w14:paraId="3766EB0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tcBorders>
              <w:top w:val="double" w:color="auto" w:sz="6" w:space="0"/>
              <w:bottom w:val="single" w:color="auto" w:sz="6" w:space="0"/>
            </w:tcBorders>
            <w:noWrap w:val="0"/>
            <w:vAlign w:val="center"/>
          </w:tcPr>
          <w:p w14:paraId="37C38E7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tcBorders>
              <w:top w:val="double" w:color="auto" w:sz="6" w:space="0"/>
              <w:bottom w:val="single" w:color="auto" w:sz="6" w:space="0"/>
            </w:tcBorders>
            <w:noWrap w:val="0"/>
            <w:vAlign w:val="center"/>
          </w:tcPr>
          <w:p w14:paraId="40F6405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tcBorders>
              <w:top w:val="double" w:color="auto" w:sz="6" w:space="0"/>
              <w:bottom w:val="single" w:color="auto" w:sz="6" w:space="0"/>
            </w:tcBorders>
            <w:noWrap w:val="0"/>
            <w:vAlign w:val="center"/>
          </w:tcPr>
          <w:p w14:paraId="084E13A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tcBorders>
              <w:top w:val="double" w:color="auto" w:sz="6" w:space="0"/>
              <w:bottom w:val="single" w:color="auto" w:sz="6" w:space="0"/>
            </w:tcBorders>
            <w:noWrap w:val="0"/>
            <w:vAlign w:val="center"/>
          </w:tcPr>
          <w:p w14:paraId="5F87148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tcBorders>
              <w:top w:val="double" w:color="auto" w:sz="6" w:space="0"/>
              <w:bottom w:val="single" w:color="auto" w:sz="6" w:space="0"/>
            </w:tcBorders>
            <w:noWrap w:val="0"/>
            <w:vAlign w:val="center"/>
          </w:tcPr>
          <w:p w14:paraId="3B4AF7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tcBorders>
              <w:top w:val="double" w:color="auto" w:sz="6" w:space="0"/>
              <w:bottom w:val="single" w:color="auto" w:sz="6" w:space="0"/>
            </w:tcBorders>
            <w:noWrap w:val="0"/>
            <w:vAlign w:val="center"/>
          </w:tcPr>
          <w:p w14:paraId="2BB6105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tcBorders>
              <w:top w:val="double" w:color="auto" w:sz="6" w:space="0"/>
              <w:bottom w:val="single" w:color="auto" w:sz="6" w:space="0"/>
            </w:tcBorders>
            <w:noWrap w:val="0"/>
            <w:vAlign w:val="center"/>
          </w:tcPr>
          <w:p w14:paraId="46DA031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tcBorders>
              <w:top w:val="double" w:color="auto" w:sz="6" w:space="0"/>
              <w:bottom w:val="single" w:color="auto" w:sz="6" w:space="0"/>
            </w:tcBorders>
            <w:noWrap w:val="0"/>
            <w:vAlign w:val="center"/>
          </w:tcPr>
          <w:p w14:paraId="7346987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0FB7A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tcBorders>
              <w:top w:val="nil"/>
            </w:tcBorders>
            <w:noWrap w:val="0"/>
            <w:vAlign w:val="center"/>
          </w:tcPr>
          <w:p w14:paraId="3C81103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tcBorders>
              <w:top w:val="nil"/>
            </w:tcBorders>
            <w:noWrap w:val="0"/>
            <w:vAlign w:val="center"/>
          </w:tcPr>
          <w:p w14:paraId="21DF3EE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tcBorders>
              <w:top w:val="nil"/>
            </w:tcBorders>
            <w:noWrap w:val="0"/>
            <w:vAlign w:val="center"/>
          </w:tcPr>
          <w:p w14:paraId="56949E3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tcBorders>
              <w:top w:val="nil"/>
            </w:tcBorders>
            <w:noWrap w:val="0"/>
            <w:vAlign w:val="center"/>
          </w:tcPr>
          <w:p w14:paraId="00DE6C7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tcBorders>
              <w:top w:val="nil"/>
            </w:tcBorders>
            <w:noWrap w:val="0"/>
            <w:vAlign w:val="center"/>
          </w:tcPr>
          <w:p w14:paraId="51F2F69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tcBorders>
              <w:top w:val="nil"/>
            </w:tcBorders>
            <w:noWrap w:val="0"/>
            <w:vAlign w:val="center"/>
          </w:tcPr>
          <w:p w14:paraId="5087304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tcBorders>
              <w:top w:val="nil"/>
            </w:tcBorders>
            <w:noWrap w:val="0"/>
            <w:vAlign w:val="center"/>
          </w:tcPr>
          <w:p w14:paraId="75C36EA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tcBorders>
              <w:top w:val="nil"/>
            </w:tcBorders>
            <w:noWrap w:val="0"/>
            <w:vAlign w:val="center"/>
          </w:tcPr>
          <w:p w14:paraId="42A40C7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tcBorders>
              <w:top w:val="nil"/>
            </w:tcBorders>
            <w:noWrap w:val="0"/>
            <w:vAlign w:val="center"/>
          </w:tcPr>
          <w:p w14:paraId="7628591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tcBorders>
              <w:top w:val="nil"/>
            </w:tcBorders>
            <w:noWrap w:val="0"/>
            <w:vAlign w:val="center"/>
          </w:tcPr>
          <w:p w14:paraId="74645D2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FAF9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65414C4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10E9544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685607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7298A66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799B67D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39A63A4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4805207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1DCD186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3CEFE78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77A160C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2FF91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50AD292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0EFBF3B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7935C1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3849A0E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92BCFF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0AE76E7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6C0EBC4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098B463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3DFA793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3F84BA2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391BB1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5F49DC5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176DE6B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29BDBC1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6375EF7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6612A8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3311E83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51E7C12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1FAD09B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135096A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4A6E6AC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F4CF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64E1AAB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125403E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67076C9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1CEF8C1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553BA0F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5414667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5FA8813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18DF359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42EE20D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057018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3EA6B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5BC5FA1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60E237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3D8C327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4B93C2D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0EE3443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36D8B0F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29BDB59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6A7AF3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2932DFB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4D562E3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A54F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4A8F20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1AA3A56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05B05A0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31825AF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012A2E3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22323F9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7027EB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2FC874F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6D88F47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62AFF2B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E3A0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3AC083F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604D0E0B">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303868B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6FEA7295">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18426CB4">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7C1C57A8">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032C6BFC">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4D494F6A">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5962DEB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0CEBB7DD">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0C5EC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5FABF7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32524EA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556490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431415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114A6F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41CD7B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209D210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402084E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51BF139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6BA17DE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FE87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6A23CF0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4E2C7B1B">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681178D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2928D6ED">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58801EC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28C55C1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0A633EEA">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1C0743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316D354C">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6926DCAC">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5FEA4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41361F43">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6DAE1CA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1A8EF1B4">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3FBA19F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AC167BA">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20C785FE">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5D9EA590">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C0DA7E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3439CE6E">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0D053F6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65979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23E79667">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276E088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420E29B4">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3BBFEC4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090BD45">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0FDF5CBC">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2E82172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50158B6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4F296A7A">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3C7C34E7">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6E57F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34BB7B3D">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24C6386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31B87A0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2EAD85D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3AB997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7790108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321CF8D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35B3262">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5A627ABB">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2A13AB38">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58556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6696BF7F">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18EE246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0107F72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5708DB6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364E446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4CDC803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6038CB23">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1725A1F5">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6EC671C3">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3236DD1E">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7312F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1544C0FD">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6742D58C">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6268487E">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62871914">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5B2E77A7">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07C0B455">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3C294F60">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6B778F9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28FA5BCD">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3BF1B88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r w14:paraId="7A086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03" w:type="dxa"/>
            <w:noWrap w:val="0"/>
            <w:vAlign w:val="center"/>
          </w:tcPr>
          <w:p w14:paraId="2DDAFEE1">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204" w:type="dxa"/>
            <w:noWrap w:val="0"/>
            <w:vAlign w:val="center"/>
          </w:tcPr>
          <w:p w14:paraId="57EA7D14">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338" w:type="dxa"/>
            <w:noWrap w:val="0"/>
            <w:vAlign w:val="center"/>
          </w:tcPr>
          <w:p w14:paraId="22708D58">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87" w:type="dxa"/>
            <w:noWrap w:val="0"/>
            <w:vAlign w:val="center"/>
          </w:tcPr>
          <w:p w14:paraId="1D396AB7">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4E99B3F9">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85" w:type="dxa"/>
            <w:noWrap w:val="0"/>
            <w:vAlign w:val="center"/>
          </w:tcPr>
          <w:p w14:paraId="31233D98">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36" w:type="dxa"/>
            <w:noWrap w:val="0"/>
            <w:vAlign w:val="center"/>
          </w:tcPr>
          <w:p w14:paraId="0F7369E3">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803" w:type="dxa"/>
            <w:noWrap w:val="0"/>
            <w:vAlign w:val="center"/>
          </w:tcPr>
          <w:p w14:paraId="2B7A5E38">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1161" w:type="dxa"/>
            <w:noWrap w:val="0"/>
            <w:vAlign w:val="center"/>
          </w:tcPr>
          <w:p w14:paraId="17C05E8E">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c>
          <w:tcPr>
            <w:tcW w:w="943" w:type="dxa"/>
            <w:noWrap w:val="0"/>
            <w:vAlign w:val="center"/>
          </w:tcPr>
          <w:p w14:paraId="118B4736">
            <w:pPr>
              <w:pageBreakBefore w:val="0"/>
              <w:kinsoku/>
              <w:wordWrap/>
              <w:overflowPunct/>
              <w:topLinePunct w:val="0"/>
              <w:bidi w:val="0"/>
              <w:jc w:val="center"/>
              <w:textAlignment w:val="auto"/>
              <w:outlineLvl w:val="9"/>
              <w:rPr>
                <w:rFonts w:hint="eastAsia" w:ascii="宋体" w:hAnsi="宋体" w:eastAsia="宋体" w:cs="宋体"/>
                <w:color w:val="000000"/>
                <w:sz w:val="24"/>
                <w:szCs w:val="24"/>
                <w:highlight w:val="none"/>
              </w:rPr>
            </w:pPr>
          </w:p>
        </w:tc>
      </w:tr>
    </w:tbl>
    <w:p w14:paraId="3338DE6F">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p>
    <w:p w14:paraId="290AE3E1">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p>
    <w:p w14:paraId="33E87184">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p>
    <w:p w14:paraId="79376437">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w:t>
      </w:r>
      <w:bookmarkStart w:id="688" w:name="_Toc296891054"/>
      <w:bookmarkStart w:id="689" w:name="_Toc296503226"/>
      <w:bookmarkStart w:id="690" w:name="_Toc296347225"/>
      <w:bookmarkStart w:id="691" w:name="_Toc296891266"/>
      <w:bookmarkStart w:id="692" w:name="_Toc267261693"/>
      <w:bookmarkStart w:id="693" w:name="_Toc296346727"/>
      <w:bookmarkStart w:id="694" w:name="_Toc296944565"/>
      <w:r>
        <w:rPr>
          <w:rFonts w:hint="eastAsia" w:ascii="宋体" w:hAnsi="宋体" w:eastAsia="宋体" w:cs="宋体"/>
          <w:color w:val="000000"/>
          <w:sz w:val="24"/>
          <w:szCs w:val="24"/>
          <w:highlight w:val="none"/>
        </w:rPr>
        <w:t>件3：</w:t>
      </w:r>
      <w:bookmarkEnd w:id="688"/>
      <w:bookmarkEnd w:id="689"/>
      <w:bookmarkEnd w:id="690"/>
      <w:bookmarkEnd w:id="691"/>
      <w:bookmarkEnd w:id="692"/>
      <w:bookmarkEnd w:id="693"/>
      <w:bookmarkEnd w:id="694"/>
    </w:p>
    <w:p w14:paraId="5B0AE594">
      <w:pPr>
        <w:keepNext w:val="0"/>
        <w:keepLines w:val="0"/>
        <w:pageBreakBefore w:val="0"/>
        <w:widowControl w:val="0"/>
        <w:kinsoku/>
        <w:wordWrap/>
        <w:overflowPunct/>
        <w:topLinePunct w:val="0"/>
        <w:autoSpaceDE/>
        <w:autoSpaceDN/>
        <w:bidi w:val="0"/>
        <w:adjustRightInd/>
        <w:snapToGrid/>
        <w:spacing w:before="156" w:beforeLines="50" w:after="156" w:afterLines="50" w:line="48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w:t>
      </w:r>
    </w:p>
    <w:p w14:paraId="573A8F0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p>
    <w:p w14:paraId="0655293B">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承包人（全称）：</w:t>
      </w:r>
      <w:r>
        <w:rPr>
          <w:rFonts w:hint="eastAsia" w:ascii="宋体" w:hAnsi="宋体" w:eastAsia="宋体" w:cs="宋体"/>
          <w:color w:val="000000"/>
          <w:sz w:val="24"/>
          <w:szCs w:val="24"/>
          <w:highlight w:val="none"/>
          <w:u w:val="single"/>
        </w:rPr>
        <w:t xml:space="preserve">                               </w:t>
      </w:r>
    </w:p>
    <w:p w14:paraId="37052ED7">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发包人和承包人根据《中华人民共和国建筑法》和《建设工程质量管理条例》，经协商一致就</w:t>
      </w:r>
      <w:r>
        <w:rPr>
          <w:rFonts w:hint="eastAsia" w:ascii="宋体" w:hAnsi="宋体" w:eastAsia="宋体" w:cs="宋体"/>
          <w:color w:val="000000"/>
          <w:sz w:val="24"/>
          <w:szCs w:val="24"/>
          <w:highlight w:val="none"/>
          <w:u w:val="single"/>
        </w:rPr>
        <w:t>（工程全称）</w:t>
      </w:r>
      <w:r>
        <w:rPr>
          <w:rFonts w:hint="eastAsia" w:ascii="宋体" w:hAnsi="宋体" w:eastAsia="宋体" w:cs="宋体"/>
          <w:color w:val="000000"/>
          <w:sz w:val="24"/>
          <w:szCs w:val="24"/>
          <w:highlight w:val="none"/>
        </w:rPr>
        <w:t>签订工程质量保修书。</w:t>
      </w:r>
    </w:p>
    <w:p w14:paraId="05CE8DF0">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695" w:name="_Toc17570"/>
      <w:bookmarkStart w:id="696" w:name="_Toc14129"/>
      <w:bookmarkStart w:id="697" w:name="_Toc17829"/>
      <w:r>
        <w:rPr>
          <w:rFonts w:hint="eastAsia" w:ascii="宋体" w:hAnsi="宋体" w:eastAsia="宋体" w:cs="宋体"/>
          <w:color w:val="000000"/>
          <w:sz w:val="24"/>
          <w:szCs w:val="24"/>
          <w:highlight w:val="none"/>
        </w:rPr>
        <w:t>一、工程质量保修范围和内容</w:t>
      </w:r>
      <w:bookmarkEnd w:id="695"/>
      <w:bookmarkEnd w:id="696"/>
      <w:bookmarkEnd w:id="697"/>
    </w:p>
    <w:p w14:paraId="4C6BD2C6">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承包人在质量保修期内，按照有关法律规定和合同约定，承担工程质量保修责任。</w:t>
      </w:r>
    </w:p>
    <w:p w14:paraId="7AA314E1">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DB6B2F6">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bookmarkStart w:id="698" w:name="_Toc8371"/>
      <w:bookmarkStart w:id="699" w:name="_Toc10060"/>
      <w:bookmarkStart w:id="700" w:name="_Toc15383"/>
      <w:r>
        <w:rPr>
          <w:rFonts w:hint="eastAsia" w:ascii="宋体" w:hAnsi="宋体" w:eastAsia="宋体" w:cs="宋体"/>
          <w:color w:val="000000"/>
          <w:sz w:val="24"/>
          <w:szCs w:val="24"/>
          <w:highlight w:val="none"/>
        </w:rPr>
        <w:t>二、质量保修期</w:t>
      </w:r>
      <w:bookmarkEnd w:id="698"/>
      <w:bookmarkEnd w:id="699"/>
      <w:bookmarkEnd w:id="700"/>
    </w:p>
    <w:p w14:paraId="55DB9F5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质量保修期自工程竣工验收合格之日起计算。分单项竣工验收的工程，按单项工程分别计算质量保修期。 </w:t>
      </w:r>
    </w:p>
    <w:p w14:paraId="45B58FB7">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双方根据《建设工程质量管理条例》及国家有关规定，结合具体工程约定质量保修期如下： </w:t>
      </w:r>
    </w:p>
    <w:p w14:paraId="0B754CFB">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1、土建工程为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设计文件规定的该工程合理使用年限和国家规定使用年限</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年，屋面防水工程为</w:t>
      </w:r>
      <w:r>
        <w:rPr>
          <w:rFonts w:hint="eastAsia" w:ascii="宋体" w:hAnsi="宋体" w:eastAsia="宋体" w:cs="宋体"/>
          <w:color w:val="000000"/>
          <w:sz w:val="24"/>
          <w:szCs w:val="24"/>
          <w:highlight w:val="none"/>
          <w:u w:val="single"/>
          <w:lang w:val="en-US" w:eastAsia="zh-CN"/>
        </w:rPr>
        <w:t xml:space="preserve">  3  </w:t>
      </w:r>
      <w:r>
        <w:rPr>
          <w:rFonts w:hint="eastAsia" w:ascii="宋体" w:hAnsi="宋体" w:eastAsia="宋体" w:cs="宋体"/>
          <w:color w:val="000000"/>
          <w:sz w:val="24"/>
          <w:szCs w:val="24"/>
          <w:highlight w:val="none"/>
        </w:rPr>
        <w:t xml:space="preserve">年； </w:t>
      </w:r>
    </w:p>
    <w:p w14:paraId="36759350">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2、电气管线、上下水管线安装工程为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2</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lang w:val="en-US" w:eastAsia="zh-CN"/>
        </w:rPr>
        <w:t>年</w:t>
      </w:r>
      <w:r>
        <w:rPr>
          <w:rFonts w:hint="eastAsia" w:ascii="宋体" w:hAnsi="宋体" w:eastAsia="宋体" w:cs="宋体"/>
          <w:color w:val="000000"/>
          <w:sz w:val="24"/>
          <w:szCs w:val="24"/>
          <w:highlight w:val="none"/>
        </w:rPr>
        <w:t xml:space="preserve">； </w:t>
      </w:r>
    </w:p>
    <w:p w14:paraId="1FAC56AB">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3、供热及供冷为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2</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 xml:space="preserve">个采暖期及供冷期； </w:t>
      </w:r>
    </w:p>
    <w:p w14:paraId="13D2C231">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4、室外的上下水和小区道路等市政公用工程为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2</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 xml:space="preserve">年； </w:t>
      </w:r>
    </w:p>
    <w:p w14:paraId="20DBB1F3">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5、其他约定：</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p>
    <w:p w14:paraId="2E1F6B7E">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质量保修期自工程竣工验收合格之日起计算。</w:t>
      </w:r>
    </w:p>
    <w:p w14:paraId="7E2B57E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000000"/>
          <w:sz w:val="24"/>
          <w:szCs w:val="24"/>
          <w:highlight w:val="none"/>
        </w:rPr>
      </w:pPr>
      <w:bookmarkStart w:id="701" w:name="_Toc5330"/>
      <w:bookmarkStart w:id="702" w:name="_Toc3970"/>
      <w:bookmarkStart w:id="703" w:name="_Toc30937"/>
      <w:r>
        <w:rPr>
          <w:rFonts w:hint="eastAsia" w:ascii="宋体" w:hAnsi="宋体" w:eastAsia="宋体" w:cs="宋体"/>
          <w:color w:val="000000"/>
          <w:sz w:val="24"/>
          <w:szCs w:val="24"/>
          <w:highlight w:val="none"/>
        </w:rPr>
        <w:t>三、缺陷责任期</w:t>
      </w:r>
      <w:bookmarkEnd w:id="701"/>
      <w:bookmarkEnd w:id="702"/>
      <w:bookmarkEnd w:id="703"/>
    </w:p>
    <w:p w14:paraId="305F9F1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工程缺陷责任期为</w:t>
      </w:r>
      <w:r>
        <w:rPr>
          <w:rFonts w:hint="eastAsia" w:ascii="宋体" w:hAnsi="宋体" w:eastAsia="宋体" w:cs="宋体"/>
          <w:sz w:val="24"/>
          <w:szCs w:val="24"/>
          <w:highlight w:val="none"/>
          <w:u w:val="single"/>
        </w:rPr>
        <w:t>24</w:t>
      </w:r>
      <w:r>
        <w:rPr>
          <w:rFonts w:hint="eastAsia" w:ascii="宋体" w:hAnsi="宋体" w:eastAsia="宋体" w:cs="宋体"/>
          <w:sz w:val="24"/>
          <w:szCs w:val="24"/>
          <w:highlight w:val="none"/>
        </w:rPr>
        <w:t>个月</w:t>
      </w:r>
      <w:r>
        <w:rPr>
          <w:rFonts w:hint="eastAsia" w:ascii="宋体" w:hAnsi="宋体" w:eastAsia="宋体" w:cs="宋体"/>
          <w:color w:val="000000"/>
          <w:sz w:val="24"/>
          <w:szCs w:val="24"/>
          <w:highlight w:val="none"/>
        </w:rPr>
        <w:t>，缺陷责任期自工程通过竣工验收之日起计算。单位工程先于全部工程进行验收，单位工程缺陷责任期自单位工程验收合格之日起算。</w:t>
      </w:r>
    </w:p>
    <w:p w14:paraId="79E80421">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缺陷责任期终止后，发包人应退还剩余的质量保证金。</w:t>
      </w:r>
    </w:p>
    <w:p w14:paraId="1DF8685C">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bookmarkStart w:id="704" w:name="_Toc27628"/>
      <w:bookmarkStart w:id="705" w:name="_Toc28548"/>
      <w:bookmarkStart w:id="706" w:name="_Toc15092"/>
      <w:r>
        <w:rPr>
          <w:rFonts w:hint="eastAsia" w:ascii="宋体" w:hAnsi="宋体" w:eastAsia="宋体" w:cs="宋体"/>
          <w:color w:val="000000"/>
          <w:sz w:val="24"/>
          <w:szCs w:val="24"/>
          <w:highlight w:val="none"/>
        </w:rPr>
        <w:t>四、质量保修责任</w:t>
      </w:r>
      <w:bookmarkEnd w:id="704"/>
      <w:bookmarkEnd w:id="705"/>
      <w:bookmarkEnd w:id="706"/>
    </w:p>
    <w:p w14:paraId="05083D89">
      <w:pPr>
        <w:pageBreakBefore w:val="0"/>
        <w:kinsoku/>
        <w:wordWrap/>
        <w:overflowPunct/>
        <w:topLinePunct w:val="0"/>
        <w:bidi w:val="0"/>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14:paraId="3C8CCE4C">
      <w:pPr>
        <w:pageBreakBefore w:val="0"/>
        <w:kinsoku/>
        <w:wordWrap/>
        <w:overflowPunct/>
        <w:topLinePunct w:val="0"/>
        <w:bidi w:val="0"/>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14:paraId="7519F483">
      <w:pPr>
        <w:pageBreakBefore w:val="0"/>
        <w:kinsoku/>
        <w:wordWrap/>
        <w:overflowPunct/>
        <w:topLinePunct w:val="0"/>
        <w:bidi w:val="0"/>
        <w:spacing w:line="360" w:lineRule="auto"/>
        <w:ind w:left="140" w:leftChars="50" w:firstLine="491" w:firstLineChars="205"/>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9C25D08">
      <w:pPr>
        <w:pageBreakBefore w:val="0"/>
        <w:kinsoku/>
        <w:wordWrap/>
        <w:overflowPunct/>
        <w:topLinePunct w:val="0"/>
        <w:bidi w:val="0"/>
        <w:spacing w:line="360" w:lineRule="auto"/>
        <w:ind w:left="560" w:leftChars="200" w:firstLine="120" w:firstLineChars="5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14:paraId="4EF3E8F0">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bookmarkStart w:id="707" w:name="_Toc8672"/>
      <w:bookmarkStart w:id="708" w:name="_Toc5821"/>
      <w:bookmarkStart w:id="709" w:name="_Toc11968"/>
      <w:r>
        <w:rPr>
          <w:rFonts w:hint="eastAsia" w:ascii="宋体" w:hAnsi="宋体" w:eastAsia="宋体" w:cs="宋体"/>
          <w:color w:val="000000"/>
          <w:sz w:val="24"/>
          <w:szCs w:val="24"/>
          <w:highlight w:val="none"/>
        </w:rPr>
        <w:t>五、保修费用</w:t>
      </w:r>
      <w:bookmarkEnd w:id="707"/>
      <w:bookmarkEnd w:id="708"/>
      <w:bookmarkEnd w:id="709"/>
    </w:p>
    <w:p w14:paraId="4B5BE658">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6842F2EE">
      <w:pPr>
        <w:pageBreakBefore w:val="0"/>
        <w:kinsoku/>
        <w:wordWrap/>
        <w:overflowPunct/>
        <w:topLinePunct w:val="0"/>
        <w:bidi w:val="0"/>
        <w:spacing w:line="360" w:lineRule="auto"/>
        <w:ind w:firstLine="600"/>
        <w:jc w:val="left"/>
        <w:textAlignment w:val="auto"/>
        <w:outlineLvl w:val="9"/>
        <w:rPr>
          <w:rFonts w:hint="eastAsia" w:ascii="宋体" w:hAnsi="宋体" w:eastAsia="宋体" w:cs="宋体"/>
          <w:color w:val="000000"/>
          <w:sz w:val="24"/>
          <w:szCs w:val="24"/>
          <w:highlight w:val="none"/>
        </w:rPr>
      </w:pPr>
      <w:bookmarkStart w:id="710" w:name="_Toc22481"/>
      <w:bookmarkStart w:id="711" w:name="_Toc28895"/>
      <w:bookmarkStart w:id="712" w:name="_Toc6072"/>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bookmarkEnd w:id="710"/>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bookmarkEnd w:id="711"/>
      <w:bookmarkEnd w:id="712"/>
    </w:p>
    <w:p w14:paraId="523BED94">
      <w:pPr>
        <w:pageBreakBefore w:val="0"/>
        <w:kinsoku/>
        <w:wordWrap/>
        <w:overflowPunct/>
        <w:topLinePunct w:val="0"/>
        <w:bidi w:val="0"/>
        <w:spacing w:line="360" w:lineRule="auto"/>
        <w:ind w:firstLine="456" w:firstLineChars="19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38106919">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w:t>
      </w:r>
    </w:p>
    <w:p w14:paraId="70468FE3">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14:paraId="053D19FF">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w:t>
      </w:r>
    </w:p>
    <w:p w14:paraId="092E5895">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p>
    <w:p w14:paraId="7D2F478B">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14:paraId="0311E67A">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p>
    <w:p w14:paraId="1BC4D462">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p>
    <w:p w14:paraId="5F5105E5">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w:t>
      </w:r>
    </w:p>
    <w:p w14:paraId="5F827A16">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14:paraId="27A820E1">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br w:type="page"/>
      </w:r>
      <w:r>
        <w:rPr>
          <w:rFonts w:hint="eastAsia" w:ascii="宋体" w:hAnsi="宋体" w:eastAsia="宋体" w:cs="宋体"/>
          <w:color w:val="000000"/>
          <w:sz w:val="24"/>
          <w:szCs w:val="24"/>
          <w:highlight w:val="none"/>
        </w:rPr>
        <w:t>附件4：</w:t>
      </w:r>
    </w:p>
    <w:p w14:paraId="2AEE0FBD">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主要建设工程文件目录</w:t>
      </w:r>
    </w:p>
    <w:tbl>
      <w:tblPr>
        <w:tblStyle w:val="10"/>
        <w:tblW w:w="90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1"/>
        <w:gridCol w:w="1243"/>
        <w:gridCol w:w="1450"/>
        <w:gridCol w:w="1667"/>
      </w:tblGrid>
      <w:tr w14:paraId="4DF7A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2" w:hRule="atLeast"/>
          <w:jc w:val="center"/>
        </w:trPr>
        <w:tc>
          <w:tcPr>
            <w:tcW w:w="1953" w:type="dxa"/>
            <w:tcBorders>
              <w:top w:val="single" w:color="auto" w:sz="12" w:space="0"/>
              <w:bottom w:val="double" w:color="auto" w:sz="6" w:space="0"/>
            </w:tcBorders>
            <w:noWrap w:val="0"/>
            <w:vAlign w:val="center"/>
          </w:tcPr>
          <w:p w14:paraId="3495DB5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文件名称</w:t>
            </w:r>
          </w:p>
        </w:tc>
        <w:tc>
          <w:tcPr>
            <w:tcW w:w="1276" w:type="dxa"/>
            <w:tcBorders>
              <w:top w:val="single" w:color="auto" w:sz="12" w:space="0"/>
              <w:bottom w:val="double" w:color="auto" w:sz="6" w:space="0"/>
            </w:tcBorders>
            <w:noWrap w:val="0"/>
            <w:vAlign w:val="center"/>
          </w:tcPr>
          <w:p w14:paraId="1B4B6B4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套数</w:t>
            </w:r>
          </w:p>
        </w:tc>
        <w:tc>
          <w:tcPr>
            <w:tcW w:w="1451" w:type="dxa"/>
            <w:tcBorders>
              <w:top w:val="single" w:color="auto" w:sz="12" w:space="0"/>
              <w:bottom w:val="double" w:color="auto" w:sz="6" w:space="0"/>
            </w:tcBorders>
            <w:noWrap w:val="0"/>
            <w:vAlign w:val="center"/>
          </w:tcPr>
          <w:p w14:paraId="17389A9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费用（元）</w:t>
            </w:r>
          </w:p>
        </w:tc>
        <w:tc>
          <w:tcPr>
            <w:tcW w:w="1243" w:type="dxa"/>
            <w:tcBorders>
              <w:top w:val="single" w:color="auto" w:sz="12" w:space="0"/>
              <w:bottom w:val="double" w:color="auto" w:sz="6" w:space="0"/>
            </w:tcBorders>
            <w:noWrap w:val="0"/>
            <w:vAlign w:val="center"/>
          </w:tcPr>
          <w:p w14:paraId="62B2F43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质量</w:t>
            </w:r>
          </w:p>
        </w:tc>
        <w:tc>
          <w:tcPr>
            <w:tcW w:w="1450" w:type="dxa"/>
            <w:tcBorders>
              <w:top w:val="single" w:color="auto" w:sz="12" w:space="0"/>
              <w:bottom w:val="double" w:color="auto" w:sz="6" w:space="0"/>
            </w:tcBorders>
            <w:noWrap w:val="0"/>
            <w:vAlign w:val="top"/>
          </w:tcPr>
          <w:p w14:paraId="2423622B">
            <w:pPr>
              <w:pageBreakBefore w:val="0"/>
              <w:kinsoku/>
              <w:wordWrap/>
              <w:overflowPunct/>
              <w:topLinePunct w:val="0"/>
              <w:bidi w:val="0"/>
              <w:spacing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移交时间</w:t>
            </w:r>
          </w:p>
        </w:tc>
        <w:tc>
          <w:tcPr>
            <w:tcW w:w="1667" w:type="dxa"/>
            <w:tcBorders>
              <w:top w:val="single" w:color="auto" w:sz="12" w:space="0"/>
              <w:bottom w:val="double" w:color="auto" w:sz="6" w:space="0"/>
            </w:tcBorders>
            <w:noWrap w:val="0"/>
            <w:vAlign w:val="top"/>
          </w:tcPr>
          <w:p w14:paraId="5B84D06D">
            <w:pPr>
              <w:pageBreakBefore w:val="0"/>
              <w:kinsoku/>
              <w:wordWrap/>
              <w:overflowPunct/>
              <w:topLinePunct w:val="0"/>
              <w:bidi w:val="0"/>
              <w:spacing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责任人</w:t>
            </w:r>
          </w:p>
        </w:tc>
      </w:tr>
      <w:tr w14:paraId="66329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1" w:hRule="atLeast"/>
          <w:jc w:val="center"/>
        </w:trPr>
        <w:tc>
          <w:tcPr>
            <w:tcW w:w="1953" w:type="dxa"/>
            <w:tcBorders>
              <w:top w:val="double" w:color="auto" w:sz="6" w:space="0"/>
              <w:bottom w:val="single" w:color="auto" w:sz="6" w:space="0"/>
            </w:tcBorders>
            <w:noWrap w:val="0"/>
            <w:vAlign w:val="center"/>
          </w:tcPr>
          <w:p w14:paraId="341760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tcBorders>
              <w:top w:val="double" w:color="auto" w:sz="6" w:space="0"/>
              <w:bottom w:val="single" w:color="auto" w:sz="6" w:space="0"/>
            </w:tcBorders>
            <w:noWrap w:val="0"/>
            <w:vAlign w:val="center"/>
          </w:tcPr>
          <w:p w14:paraId="743A058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tcBorders>
              <w:top w:val="double" w:color="auto" w:sz="6" w:space="0"/>
              <w:bottom w:val="single" w:color="auto" w:sz="6" w:space="0"/>
            </w:tcBorders>
            <w:noWrap w:val="0"/>
            <w:vAlign w:val="center"/>
          </w:tcPr>
          <w:p w14:paraId="32F48F2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tcBorders>
              <w:top w:val="double" w:color="auto" w:sz="6" w:space="0"/>
              <w:bottom w:val="single" w:color="auto" w:sz="6" w:space="0"/>
            </w:tcBorders>
            <w:noWrap w:val="0"/>
            <w:vAlign w:val="center"/>
          </w:tcPr>
          <w:p w14:paraId="380CF8A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tcBorders>
              <w:top w:val="double" w:color="auto" w:sz="6" w:space="0"/>
              <w:bottom w:val="single" w:color="auto" w:sz="6" w:space="0"/>
            </w:tcBorders>
            <w:noWrap w:val="0"/>
            <w:vAlign w:val="center"/>
          </w:tcPr>
          <w:p w14:paraId="3EDD06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tcBorders>
              <w:top w:val="double" w:color="auto" w:sz="6" w:space="0"/>
              <w:bottom w:val="single" w:color="auto" w:sz="6" w:space="0"/>
            </w:tcBorders>
            <w:noWrap w:val="0"/>
            <w:vAlign w:val="center"/>
          </w:tcPr>
          <w:p w14:paraId="57A52E0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32C2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tcBorders>
              <w:top w:val="nil"/>
            </w:tcBorders>
            <w:noWrap w:val="0"/>
            <w:vAlign w:val="center"/>
          </w:tcPr>
          <w:p w14:paraId="6585DA8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tcBorders>
              <w:top w:val="nil"/>
            </w:tcBorders>
            <w:noWrap w:val="0"/>
            <w:vAlign w:val="center"/>
          </w:tcPr>
          <w:p w14:paraId="10F8A0D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tcBorders>
              <w:top w:val="nil"/>
            </w:tcBorders>
            <w:noWrap w:val="0"/>
            <w:vAlign w:val="center"/>
          </w:tcPr>
          <w:p w14:paraId="1F539DE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tcBorders>
              <w:top w:val="nil"/>
            </w:tcBorders>
            <w:noWrap w:val="0"/>
            <w:vAlign w:val="center"/>
          </w:tcPr>
          <w:p w14:paraId="1A1ED89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tcBorders>
              <w:top w:val="nil"/>
            </w:tcBorders>
            <w:noWrap w:val="0"/>
            <w:vAlign w:val="center"/>
          </w:tcPr>
          <w:p w14:paraId="4F6F42D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tcBorders>
              <w:top w:val="nil"/>
            </w:tcBorders>
            <w:noWrap w:val="0"/>
            <w:vAlign w:val="center"/>
          </w:tcPr>
          <w:p w14:paraId="62D2119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171B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694695E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556C7B6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378BB0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4031073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2723B22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71781CA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893E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345E29F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13BF2AC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4C8B30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490E146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604BE00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435A375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70599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7BB57FC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0A623E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1CBA0F7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008052E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47D9340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426CEED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30C9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2C00A9C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01C8C46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1E0A724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358725F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3C47332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3DBC731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63482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22E501E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5E35898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126214E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3FCC8B5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7308DF4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70A2925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EF25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5FCB56B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649DA09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5A045A6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4491E2E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6142901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6E96B27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837E0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240E7C3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05538B5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1CE40B8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1E66802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636BAD3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0DB8AEE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5B9A9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center"/>
          </w:tcPr>
          <w:p w14:paraId="6400E4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76" w:type="dxa"/>
            <w:noWrap w:val="0"/>
            <w:vAlign w:val="center"/>
          </w:tcPr>
          <w:p w14:paraId="121AE59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1" w:type="dxa"/>
            <w:noWrap w:val="0"/>
            <w:vAlign w:val="center"/>
          </w:tcPr>
          <w:p w14:paraId="07775C1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43" w:type="dxa"/>
            <w:noWrap w:val="0"/>
            <w:vAlign w:val="center"/>
          </w:tcPr>
          <w:p w14:paraId="15E03DD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50" w:type="dxa"/>
            <w:noWrap w:val="0"/>
            <w:vAlign w:val="center"/>
          </w:tcPr>
          <w:p w14:paraId="0782488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667" w:type="dxa"/>
            <w:noWrap w:val="0"/>
            <w:vAlign w:val="center"/>
          </w:tcPr>
          <w:p w14:paraId="70519C9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87DB1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425B5622">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37DAEE9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5BCE24D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576A71D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1A2AFBF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16802A7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0EB69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0E4C9F6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63E839F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76BB6572">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07D1E10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59190B0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1671274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308E4E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45C9F08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46DF806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280862F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2B9CB94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3871A82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5DF45C9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0EA5E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6A20955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76B32C8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29F37C0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20CA2CE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16F6A9C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7A4A37E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28ABB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0EEFD20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7DBC426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25A72BC2">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03F8A0D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7A08B22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7A8F913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6D292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09348FB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257369C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069744C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7B08053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6495933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083CE26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6D79C1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9" w:hRule="atLeast"/>
          <w:jc w:val="center"/>
        </w:trPr>
        <w:tc>
          <w:tcPr>
            <w:tcW w:w="1953" w:type="dxa"/>
            <w:noWrap w:val="0"/>
            <w:vAlign w:val="top"/>
          </w:tcPr>
          <w:p w14:paraId="2A2F02D4">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406F27D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53EC836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61E47E3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6F3A727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5300C86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1B4E5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1" w:hRule="atLeast"/>
          <w:jc w:val="center"/>
        </w:trPr>
        <w:tc>
          <w:tcPr>
            <w:tcW w:w="1953" w:type="dxa"/>
            <w:noWrap w:val="0"/>
            <w:vAlign w:val="top"/>
          </w:tcPr>
          <w:p w14:paraId="68847BE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76" w:type="dxa"/>
            <w:noWrap w:val="0"/>
            <w:vAlign w:val="top"/>
          </w:tcPr>
          <w:p w14:paraId="76EB188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1" w:type="dxa"/>
            <w:noWrap w:val="0"/>
            <w:vAlign w:val="top"/>
          </w:tcPr>
          <w:p w14:paraId="0277025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43" w:type="dxa"/>
            <w:noWrap w:val="0"/>
            <w:vAlign w:val="top"/>
          </w:tcPr>
          <w:p w14:paraId="3A23573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50" w:type="dxa"/>
            <w:noWrap w:val="0"/>
            <w:vAlign w:val="top"/>
          </w:tcPr>
          <w:p w14:paraId="53255C5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667" w:type="dxa"/>
            <w:noWrap w:val="0"/>
            <w:vAlign w:val="top"/>
          </w:tcPr>
          <w:p w14:paraId="751589C4">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bl>
    <w:p w14:paraId="406EBD3C">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r>
        <w:rPr>
          <w:rFonts w:hint="eastAsia" w:ascii="宋体" w:hAnsi="宋体" w:eastAsia="宋体" w:cs="宋体"/>
          <w:color w:val="000000"/>
          <w:sz w:val="24"/>
          <w:szCs w:val="24"/>
          <w:highlight w:val="none"/>
        </w:rPr>
        <w:t>附</w:t>
      </w:r>
      <w:bookmarkStart w:id="713" w:name="_Toc296347226"/>
      <w:bookmarkStart w:id="714" w:name="_Toc296346728"/>
      <w:bookmarkStart w:id="715" w:name="_Toc296944566"/>
      <w:bookmarkStart w:id="716" w:name="_Toc267261698"/>
      <w:bookmarkStart w:id="717" w:name="_Toc296891055"/>
      <w:bookmarkStart w:id="718" w:name="_Toc296503227"/>
      <w:bookmarkStart w:id="719" w:name="_Toc296891267"/>
      <w:r>
        <w:rPr>
          <w:rFonts w:hint="eastAsia" w:ascii="宋体" w:hAnsi="宋体" w:eastAsia="宋体" w:cs="宋体"/>
          <w:color w:val="000000"/>
          <w:sz w:val="24"/>
          <w:szCs w:val="24"/>
          <w:highlight w:val="none"/>
        </w:rPr>
        <w:t>件5：</w:t>
      </w:r>
    </w:p>
    <w:bookmarkEnd w:id="713"/>
    <w:bookmarkEnd w:id="714"/>
    <w:bookmarkEnd w:id="715"/>
    <w:bookmarkEnd w:id="716"/>
    <w:bookmarkEnd w:id="717"/>
    <w:bookmarkEnd w:id="718"/>
    <w:bookmarkEnd w:id="719"/>
    <w:p w14:paraId="20DDA1E5">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承包人用于本工程施工的机械设备表</w:t>
      </w:r>
    </w:p>
    <w:tbl>
      <w:tblPr>
        <w:tblStyle w:val="10"/>
        <w:tblW w:w="95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86"/>
        <w:gridCol w:w="1325"/>
        <w:gridCol w:w="1218"/>
        <w:gridCol w:w="776"/>
        <w:gridCol w:w="787"/>
        <w:gridCol w:w="1150"/>
        <w:gridCol w:w="1412"/>
        <w:gridCol w:w="1172"/>
        <w:gridCol w:w="894"/>
      </w:tblGrid>
      <w:tr w14:paraId="60A52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5" w:hRule="atLeast"/>
          <w:jc w:val="center"/>
        </w:trPr>
        <w:tc>
          <w:tcPr>
            <w:tcW w:w="786" w:type="dxa"/>
            <w:tcBorders>
              <w:top w:val="single" w:color="auto" w:sz="12" w:space="0"/>
              <w:bottom w:val="double" w:color="auto" w:sz="6" w:space="0"/>
            </w:tcBorders>
            <w:noWrap w:val="0"/>
            <w:vAlign w:val="center"/>
          </w:tcPr>
          <w:p w14:paraId="4E3EE0D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序号</w:t>
            </w:r>
          </w:p>
        </w:tc>
        <w:tc>
          <w:tcPr>
            <w:tcW w:w="1325" w:type="dxa"/>
            <w:tcBorders>
              <w:top w:val="single" w:color="auto" w:sz="12" w:space="0"/>
              <w:bottom w:val="double" w:color="auto" w:sz="6" w:space="0"/>
            </w:tcBorders>
            <w:noWrap w:val="0"/>
            <w:vAlign w:val="center"/>
          </w:tcPr>
          <w:p w14:paraId="112A7B0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机械或设备名称</w:t>
            </w:r>
          </w:p>
        </w:tc>
        <w:tc>
          <w:tcPr>
            <w:tcW w:w="1218" w:type="dxa"/>
            <w:tcBorders>
              <w:top w:val="single" w:color="auto" w:sz="12" w:space="0"/>
              <w:bottom w:val="double" w:color="auto" w:sz="6" w:space="0"/>
            </w:tcBorders>
            <w:noWrap w:val="0"/>
            <w:vAlign w:val="center"/>
          </w:tcPr>
          <w:p w14:paraId="02CDADF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规格型号</w:t>
            </w:r>
          </w:p>
        </w:tc>
        <w:tc>
          <w:tcPr>
            <w:tcW w:w="776" w:type="dxa"/>
            <w:tcBorders>
              <w:top w:val="single" w:color="auto" w:sz="12" w:space="0"/>
              <w:bottom w:val="double" w:color="auto" w:sz="6" w:space="0"/>
            </w:tcBorders>
            <w:noWrap w:val="0"/>
            <w:vAlign w:val="center"/>
          </w:tcPr>
          <w:p w14:paraId="35EBC32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数量</w:t>
            </w:r>
          </w:p>
        </w:tc>
        <w:tc>
          <w:tcPr>
            <w:tcW w:w="787" w:type="dxa"/>
            <w:tcBorders>
              <w:top w:val="single" w:color="auto" w:sz="12" w:space="0"/>
              <w:bottom w:val="double" w:color="auto" w:sz="6" w:space="0"/>
            </w:tcBorders>
            <w:noWrap w:val="0"/>
            <w:vAlign w:val="center"/>
          </w:tcPr>
          <w:p w14:paraId="41160A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产地</w:t>
            </w:r>
          </w:p>
        </w:tc>
        <w:tc>
          <w:tcPr>
            <w:tcW w:w="1150" w:type="dxa"/>
            <w:tcBorders>
              <w:top w:val="single" w:color="auto" w:sz="12" w:space="0"/>
              <w:bottom w:val="double" w:color="auto" w:sz="6" w:space="0"/>
            </w:tcBorders>
            <w:noWrap w:val="0"/>
            <w:vAlign w:val="center"/>
          </w:tcPr>
          <w:p w14:paraId="3104D4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制造年份</w:t>
            </w:r>
          </w:p>
        </w:tc>
        <w:tc>
          <w:tcPr>
            <w:tcW w:w="1412" w:type="dxa"/>
            <w:tcBorders>
              <w:top w:val="single" w:color="auto" w:sz="12" w:space="0"/>
              <w:bottom w:val="double" w:color="auto" w:sz="6" w:space="0"/>
            </w:tcBorders>
            <w:noWrap w:val="0"/>
            <w:vAlign w:val="center"/>
          </w:tcPr>
          <w:p w14:paraId="512F051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额定功率(kW)</w:t>
            </w:r>
          </w:p>
        </w:tc>
        <w:tc>
          <w:tcPr>
            <w:tcW w:w="1172" w:type="dxa"/>
            <w:tcBorders>
              <w:top w:val="single" w:color="auto" w:sz="12" w:space="0"/>
              <w:bottom w:val="double" w:color="auto" w:sz="6" w:space="0"/>
            </w:tcBorders>
            <w:noWrap w:val="0"/>
            <w:vAlign w:val="center"/>
          </w:tcPr>
          <w:p w14:paraId="4637598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生产能力</w:t>
            </w:r>
          </w:p>
        </w:tc>
        <w:tc>
          <w:tcPr>
            <w:tcW w:w="894" w:type="dxa"/>
            <w:tcBorders>
              <w:top w:val="single" w:color="auto" w:sz="12" w:space="0"/>
              <w:bottom w:val="double" w:color="auto" w:sz="6" w:space="0"/>
            </w:tcBorders>
            <w:noWrap w:val="0"/>
            <w:vAlign w:val="center"/>
          </w:tcPr>
          <w:p w14:paraId="42CB1E7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备注</w:t>
            </w:r>
          </w:p>
        </w:tc>
      </w:tr>
      <w:tr w14:paraId="1F14D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786" w:type="dxa"/>
            <w:tcBorders>
              <w:top w:val="double" w:color="auto" w:sz="6" w:space="0"/>
              <w:bottom w:val="single" w:color="auto" w:sz="6" w:space="0"/>
            </w:tcBorders>
            <w:noWrap w:val="0"/>
            <w:vAlign w:val="center"/>
          </w:tcPr>
          <w:p w14:paraId="3E4B68B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tcBorders>
              <w:top w:val="double" w:color="auto" w:sz="6" w:space="0"/>
              <w:bottom w:val="single" w:color="auto" w:sz="6" w:space="0"/>
            </w:tcBorders>
            <w:noWrap w:val="0"/>
            <w:vAlign w:val="center"/>
          </w:tcPr>
          <w:p w14:paraId="613E9AA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tcBorders>
              <w:top w:val="double" w:color="auto" w:sz="6" w:space="0"/>
              <w:bottom w:val="single" w:color="auto" w:sz="6" w:space="0"/>
            </w:tcBorders>
            <w:noWrap w:val="0"/>
            <w:vAlign w:val="center"/>
          </w:tcPr>
          <w:p w14:paraId="12833B2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tcBorders>
              <w:top w:val="double" w:color="auto" w:sz="6" w:space="0"/>
              <w:bottom w:val="single" w:color="auto" w:sz="6" w:space="0"/>
            </w:tcBorders>
            <w:noWrap w:val="0"/>
            <w:vAlign w:val="center"/>
          </w:tcPr>
          <w:p w14:paraId="5A7DBF6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tcBorders>
              <w:top w:val="double" w:color="auto" w:sz="6" w:space="0"/>
              <w:bottom w:val="single" w:color="auto" w:sz="6" w:space="0"/>
            </w:tcBorders>
            <w:noWrap w:val="0"/>
            <w:vAlign w:val="center"/>
          </w:tcPr>
          <w:p w14:paraId="6D65043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tcBorders>
              <w:top w:val="double" w:color="auto" w:sz="6" w:space="0"/>
              <w:bottom w:val="single" w:color="auto" w:sz="6" w:space="0"/>
            </w:tcBorders>
            <w:noWrap w:val="0"/>
            <w:vAlign w:val="center"/>
          </w:tcPr>
          <w:p w14:paraId="1B5703B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tcBorders>
              <w:top w:val="double" w:color="auto" w:sz="6" w:space="0"/>
              <w:bottom w:val="single" w:color="auto" w:sz="6" w:space="0"/>
            </w:tcBorders>
            <w:noWrap w:val="0"/>
            <w:vAlign w:val="center"/>
          </w:tcPr>
          <w:p w14:paraId="7599653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tcBorders>
              <w:top w:val="double" w:color="auto" w:sz="6" w:space="0"/>
              <w:bottom w:val="single" w:color="auto" w:sz="6" w:space="0"/>
            </w:tcBorders>
            <w:noWrap w:val="0"/>
            <w:vAlign w:val="center"/>
          </w:tcPr>
          <w:p w14:paraId="0E9A496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tcBorders>
              <w:top w:val="double" w:color="auto" w:sz="6" w:space="0"/>
              <w:bottom w:val="single" w:color="auto" w:sz="6" w:space="0"/>
            </w:tcBorders>
            <w:noWrap w:val="0"/>
            <w:vAlign w:val="center"/>
          </w:tcPr>
          <w:p w14:paraId="41DEFB2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18A9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tcBorders>
              <w:top w:val="nil"/>
            </w:tcBorders>
            <w:noWrap w:val="0"/>
            <w:vAlign w:val="center"/>
          </w:tcPr>
          <w:p w14:paraId="1408801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tcBorders>
              <w:top w:val="nil"/>
            </w:tcBorders>
            <w:noWrap w:val="0"/>
            <w:vAlign w:val="center"/>
          </w:tcPr>
          <w:p w14:paraId="7FD879F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tcBorders>
              <w:top w:val="nil"/>
            </w:tcBorders>
            <w:noWrap w:val="0"/>
            <w:vAlign w:val="center"/>
          </w:tcPr>
          <w:p w14:paraId="55833E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tcBorders>
              <w:top w:val="nil"/>
            </w:tcBorders>
            <w:noWrap w:val="0"/>
            <w:vAlign w:val="center"/>
          </w:tcPr>
          <w:p w14:paraId="7C272C5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tcBorders>
              <w:top w:val="nil"/>
            </w:tcBorders>
            <w:noWrap w:val="0"/>
            <w:vAlign w:val="center"/>
          </w:tcPr>
          <w:p w14:paraId="6B2FE83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tcBorders>
              <w:top w:val="nil"/>
            </w:tcBorders>
            <w:noWrap w:val="0"/>
            <w:vAlign w:val="center"/>
          </w:tcPr>
          <w:p w14:paraId="48BF7FD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tcBorders>
              <w:top w:val="nil"/>
            </w:tcBorders>
            <w:noWrap w:val="0"/>
            <w:vAlign w:val="center"/>
          </w:tcPr>
          <w:p w14:paraId="13EB4F2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tcBorders>
              <w:top w:val="nil"/>
            </w:tcBorders>
            <w:noWrap w:val="0"/>
            <w:vAlign w:val="center"/>
          </w:tcPr>
          <w:p w14:paraId="3EDC103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tcBorders>
              <w:top w:val="nil"/>
            </w:tcBorders>
            <w:noWrap w:val="0"/>
            <w:vAlign w:val="center"/>
          </w:tcPr>
          <w:p w14:paraId="2A64DA8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8A05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74E52C4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6ADB363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22ACEDD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291169C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2C99C51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2A8653F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12834FF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3AD3208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26F5EB7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863B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3FED9D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1C6EB24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202E024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3D2E50A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54CF8D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7A0C50D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73F832E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0F6D485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0D79E91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8658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6CCFE8D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7F881F0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3D2C1EB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094CAF3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0AB6AAC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02DB71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30A8772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5362FC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51F1920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13A7D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62F56B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10237F7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154B995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29DDB91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112803A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7E96D03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70F519C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56AF329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37F0158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88A4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08A359C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2F3786C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57D86AB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0A25423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19F0291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2E2707A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15CCE4B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5D41A70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35AD325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D9ED9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6B6B098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0FECBDC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4755D0F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2F5FAC2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14DEB41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5C5061D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4F0EF80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3EDF9C9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1AADED5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7A5E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5031EB93">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3D17E22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507B490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4019A274">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5A39E23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2D6D09D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4CBB14D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69A676B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737AE3C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4B6557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center"/>
          </w:tcPr>
          <w:p w14:paraId="7FDB868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325" w:type="dxa"/>
            <w:noWrap w:val="0"/>
            <w:vAlign w:val="center"/>
          </w:tcPr>
          <w:p w14:paraId="22D20DD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218" w:type="dxa"/>
            <w:noWrap w:val="0"/>
            <w:vAlign w:val="center"/>
          </w:tcPr>
          <w:p w14:paraId="74476E7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76" w:type="dxa"/>
            <w:noWrap w:val="0"/>
            <w:vAlign w:val="center"/>
          </w:tcPr>
          <w:p w14:paraId="1A4FD7A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787" w:type="dxa"/>
            <w:noWrap w:val="0"/>
            <w:vAlign w:val="center"/>
          </w:tcPr>
          <w:p w14:paraId="673AA3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50" w:type="dxa"/>
            <w:noWrap w:val="0"/>
            <w:vAlign w:val="center"/>
          </w:tcPr>
          <w:p w14:paraId="4BB122E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2" w:type="dxa"/>
            <w:noWrap w:val="0"/>
            <w:vAlign w:val="center"/>
          </w:tcPr>
          <w:p w14:paraId="7397C18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72" w:type="dxa"/>
            <w:noWrap w:val="0"/>
            <w:vAlign w:val="center"/>
          </w:tcPr>
          <w:p w14:paraId="6A0316C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894" w:type="dxa"/>
            <w:noWrap w:val="0"/>
            <w:vAlign w:val="center"/>
          </w:tcPr>
          <w:p w14:paraId="76DCFFC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7A517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00120C9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6C35C10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398500D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3BD22AE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3717D96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31BD3D7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51289A42">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40E84A0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0CA67FB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11CB6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63FCB94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44C06AE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450CF10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3D38C05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6CE89E8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4150F603">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4B21740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0F806CC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70854624">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113E9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5CEF028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36AD0B5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2701C2C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14D5972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3B05FC8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52EC390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18FBC99E">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2F4B538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0B004E7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09A59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3429CE93">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2AD6649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7200F72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36012FC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6C8025D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257E200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0DCE5AA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7A02DFFF">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060FEB5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66184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5DBB184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2DF0D6B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605ED70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5EC764A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4E9DC6E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49B2556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5DB378C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41B485F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0471760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4337B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71CE80D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59E10B2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3F3C6E3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41F4363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7D1F2AB1">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364B735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6028961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6CA7CEF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56120696">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0F3FB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786" w:type="dxa"/>
            <w:noWrap w:val="0"/>
            <w:vAlign w:val="top"/>
          </w:tcPr>
          <w:p w14:paraId="5CB3031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49667F9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74DF70D5">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2791D704">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3B78FC7B">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7480E0E3">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48147AEA">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7CE970C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50E8945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r w14:paraId="6A560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786" w:type="dxa"/>
            <w:noWrap w:val="0"/>
            <w:vAlign w:val="top"/>
          </w:tcPr>
          <w:p w14:paraId="18AE3C82">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325" w:type="dxa"/>
            <w:noWrap w:val="0"/>
            <w:vAlign w:val="top"/>
          </w:tcPr>
          <w:p w14:paraId="34D2AC40">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218" w:type="dxa"/>
            <w:noWrap w:val="0"/>
            <w:vAlign w:val="top"/>
          </w:tcPr>
          <w:p w14:paraId="35616C7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76" w:type="dxa"/>
            <w:noWrap w:val="0"/>
            <w:vAlign w:val="top"/>
          </w:tcPr>
          <w:p w14:paraId="4D02F16D">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787" w:type="dxa"/>
            <w:noWrap w:val="0"/>
            <w:vAlign w:val="top"/>
          </w:tcPr>
          <w:p w14:paraId="22ACF069">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50" w:type="dxa"/>
            <w:noWrap w:val="0"/>
            <w:vAlign w:val="top"/>
          </w:tcPr>
          <w:p w14:paraId="524F238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412" w:type="dxa"/>
            <w:noWrap w:val="0"/>
            <w:vAlign w:val="top"/>
          </w:tcPr>
          <w:p w14:paraId="31FA3098">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1172" w:type="dxa"/>
            <w:noWrap w:val="0"/>
            <w:vAlign w:val="top"/>
          </w:tcPr>
          <w:p w14:paraId="200D3BA7">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c>
          <w:tcPr>
            <w:tcW w:w="894" w:type="dxa"/>
            <w:noWrap w:val="0"/>
            <w:vAlign w:val="top"/>
          </w:tcPr>
          <w:p w14:paraId="6C8D1D1C">
            <w:pPr>
              <w:pageBreakBefore w:val="0"/>
              <w:kinsoku/>
              <w:wordWrap/>
              <w:overflowPunct/>
              <w:topLinePunct w:val="0"/>
              <w:bidi w:val="0"/>
              <w:textAlignment w:val="auto"/>
              <w:outlineLvl w:val="9"/>
              <w:rPr>
                <w:rFonts w:hint="eastAsia" w:ascii="宋体" w:hAnsi="宋体" w:eastAsia="宋体" w:cs="宋体"/>
                <w:color w:val="000000"/>
                <w:sz w:val="24"/>
                <w:szCs w:val="24"/>
                <w:highlight w:val="none"/>
              </w:rPr>
            </w:pPr>
          </w:p>
        </w:tc>
      </w:tr>
    </w:tbl>
    <w:p w14:paraId="4C65E2B9">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p>
    <w:p w14:paraId="253CC4E3">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w:t>
      </w:r>
      <w:bookmarkStart w:id="720" w:name="_Toc296347227"/>
      <w:bookmarkStart w:id="721" w:name="_Toc267261699"/>
      <w:bookmarkStart w:id="722" w:name="_Toc296944567"/>
      <w:bookmarkStart w:id="723" w:name="_Toc296891056"/>
      <w:bookmarkStart w:id="724" w:name="_Toc296891268"/>
      <w:bookmarkStart w:id="725" w:name="_Toc296346729"/>
      <w:bookmarkStart w:id="726" w:name="_Toc296503228"/>
      <w:r>
        <w:rPr>
          <w:rFonts w:hint="eastAsia" w:ascii="宋体" w:hAnsi="宋体" w:eastAsia="宋体" w:cs="宋体"/>
          <w:color w:val="000000"/>
          <w:sz w:val="24"/>
          <w:szCs w:val="24"/>
          <w:highlight w:val="none"/>
        </w:rPr>
        <w:t>件6：</w:t>
      </w:r>
    </w:p>
    <w:bookmarkEnd w:id="720"/>
    <w:bookmarkEnd w:id="721"/>
    <w:bookmarkEnd w:id="722"/>
    <w:bookmarkEnd w:id="723"/>
    <w:bookmarkEnd w:id="724"/>
    <w:bookmarkEnd w:id="725"/>
    <w:bookmarkEnd w:id="726"/>
    <w:p w14:paraId="1CF25F1B">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承包人主要施工管理人员表</w:t>
      </w:r>
    </w:p>
    <w:tbl>
      <w:tblPr>
        <w:tblStyle w:val="10"/>
        <w:tblW w:w="98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3"/>
        <w:gridCol w:w="1420"/>
        <w:gridCol w:w="1135"/>
        <w:gridCol w:w="1135"/>
        <w:gridCol w:w="4257"/>
      </w:tblGrid>
      <w:tr w14:paraId="08F4F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3" w:hRule="atLeast"/>
          <w:jc w:val="center"/>
        </w:trPr>
        <w:tc>
          <w:tcPr>
            <w:tcW w:w="1873" w:type="dxa"/>
            <w:tcBorders>
              <w:top w:val="single" w:color="auto" w:sz="12" w:space="0"/>
              <w:bottom w:val="double" w:color="auto" w:sz="6" w:space="0"/>
            </w:tcBorders>
            <w:noWrap w:val="0"/>
            <w:vAlign w:val="center"/>
          </w:tcPr>
          <w:p w14:paraId="0489468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p>
        </w:tc>
        <w:tc>
          <w:tcPr>
            <w:tcW w:w="1420" w:type="dxa"/>
            <w:tcBorders>
              <w:top w:val="single" w:color="auto" w:sz="12" w:space="0"/>
              <w:bottom w:val="double" w:color="auto" w:sz="6" w:space="0"/>
            </w:tcBorders>
            <w:noWrap w:val="0"/>
            <w:vAlign w:val="center"/>
          </w:tcPr>
          <w:p w14:paraId="7485EAA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p>
        </w:tc>
        <w:tc>
          <w:tcPr>
            <w:tcW w:w="1135" w:type="dxa"/>
            <w:tcBorders>
              <w:top w:val="single" w:color="auto" w:sz="12" w:space="0"/>
              <w:bottom w:val="double" w:color="auto" w:sz="6" w:space="0"/>
            </w:tcBorders>
            <w:noWrap w:val="0"/>
            <w:vAlign w:val="center"/>
          </w:tcPr>
          <w:p w14:paraId="440C280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职务</w:t>
            </w:r>
          </w:p>
        </w:tc>
        <w:tc>
          <w:tcPr>
            <w:tcW w:w="1135" w:type="dxa"/>
            <w:tcBorders>
              <w:top w:val="single" w:color="auto" w:sz="12" w:space="0"/>
              <w:bottom w:val="double" w:color="auto" w:sz="6" w:space="0"/>
            </w:tcBorders>
            <w:noWrap w:val="0"/>
            <w:vAlign w:val="center"/>
          </w:tcPr>
          <w:p w14:paraId="58AD447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职称</w:t>
            </w:r>
          </w:p>
        </w:tc>
        <w:tc>
          <w:tcPr>
            <w:tcW w:w="4257" w:type="dxa"/>
            <w:tcBorders>
              <w:top w:val="single" w:color="auto" w:sz="12" w:space="0"/>
              <w:bottom w:val="double" w:color="auto" w:sz="6" w:space="0"/>
            </w:tcBorders>
            <w:noWrap w:val="0"/>
            <w:vAlign w:val="center"/>
          </w:tcPr>
          <w:p w14:paraId="6514A6F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主要资历、经验及承担过的项目</w:t>
            </w:r>
          </w:p>
        </w:tc>
      </w:tr>
      <w:tr w14:paraId="0503F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1" w:hRule="atLeast"/>
          <w:jc w:val="center"/>
        </w:trPr>
        <w:tc>
          <w:tcPr>
            <w:tcW w:w="9820" w:type="dxa"/>
            <w:gridSpan w:val="5"/>
            <w:tcBorders>
              <w:top w:val="double" w:color="auto" w:sz="6" w:space="0"/>
              <w:bottom w:val="single" w:color="auto" w:sz="6" w:space="0"/>
            </w:tcBorders>
            <w:noWrap w:val="0"/>
            <w:vAlign w:val="center"/>
          </w:tcPr>
          <w:p w14:paraId="6DF0533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一、总部人员</w:t>
            </w:r>
          </w:p>
        </w:tc>
      </w:tr>
      <w:tr w14:paraId="3F2012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nil"/>
              <w:bottom w:val="nil"/>
            </w:tcBorders>
            <w:noWrap w:val="0"/>
            <w:vAlign w:val="center"/>
          </w:tcPr>
          <w:p w14:paraId="2DEC158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项目主管</w:t>
            </w:r>
          </w:p>
        </w:tc>
        <w:tc>
          <w:tcPr>
            <w:tcW w:w="1420" w:type="dxa"/>
            <w:tcBorders>
              <w:top w:val="nil"/>
            </w:tcBorders>
            <w:noWrap w:val="0"/>
            <w:vAlign w:val="center"/>
          </w:tcPr>
          <w:p w14:paraId="6A6AB1A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top w:val="nil"/>
            </w:tcBorders>
            <w:noWrap w:val="0"/>
            <w:vAlign w:val="center"/>
          </w:tcPr>
          <w:p w14:paraId="2B6630D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top w:val="nil"/>
            </w:tcBorders>
            <w:noWrap w:val="0"/>
            <w:vAlign w:val="center"/>
          </w:tcPr>
          <w:p w14:paraId="1D5F809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tcBorders>
              <w:top w:val="nil"/>
            </w:tcBorders>
            <w:noWrap w:val="0"/>
            <w:vAlign w:val="center"/>
          </w:tcPr>
          <w:p w14:paraId="2AE448C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7045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nil"/>
            </w:tcBorders>
            <w:noWrap w:val="0"/>
            <w:vAlign w:val="center"/>
          </w:tcPr>
          <w:p w14:paraId="377CA86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1FF044F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08A51A4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741910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7B49A21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5EBA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nil"/>
              <w:bottom w:val="nil"/>
            </w:tcBorders>
            <w:noWrap w:val="0"/>
            <w:vAlign w:val="center"/>
          </w:tcPr>
          <w:p w14:paraId="7B66C8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其他人员</w:t>
            </w:r>
          </w:p>
        </w:tc>
        <w:tc>
          <w:tcPr>
            <w:tcW w:w="1420" w:type="dxa"/>
            <w:noWrap w:val="0"/>
            <w:vAlign w:val="center"/>
          </w:tcPr>
          <w:p w14:paraId="75EB8E5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65D216C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3E6339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560EEE1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0CC8C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nil"/>
              <w:bottom w:val="nil"/>
            </w:tcBorders>
            <w:noWrap w:val="0"/>
            <w:vAlign w:val="center"/>
          </w:tcPr>
          <w:p w14:paraId="005BC35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6EE3AF6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5A1562C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6B24E2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1208DD1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F2B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9820" w:type="dxa"/>
            <w:gridSpan w:val="5"/>
            <w:tcBorders>
              <w:top w:val="single" w:color="auto" w:sz="6" w:space="0"/>
              <w:bottom w:val="single" w:color="auto" w:sz="6" w:space="0"/>
            </w:tcBorders>
            <w:noWrap w:val="0"/>
            <w:vAlign w:val="center"/>
          </w:tcPr>
          <w:p w14:paraId="21A2E26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二、现场人员</w:t>
            </w:r>
          </w:p>
        </w:tc>
      </w:tr>
      <w:tr w14:paraId="5E9CF0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0FAE3AE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项目负责人</w:t>
            </w:r>
          </w:p>
        </w:tc>
        <w:tc>
          <w:tcPr>
            <w:tcW w:w="1420" w:type="dxa"/>
            <w:noWrap w:val="0"/>
            <w:vAlign w:val="center"/>
          </w:tcPr>
          <w:p w14:paraId="2E477E3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9F2905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0C9B9E2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17D0767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1D87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0262D5B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0299046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6DF9430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6AD7DE1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021232F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CC88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4C9EA13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3CED280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42E9FF2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03C83D8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08D6426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F838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4009DBB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2C4B453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DB60BD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4B1108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2C158DC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3713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52312A6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6F4523B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4725A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4276975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650604B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7AA82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7E14D69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65A9DA1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4E2243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19E4711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38639E9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8FAC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0C0DECF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12F9B5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B231AD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451BA59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68BADB1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3BAA3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tcBorders>
              <w:top w:val="single" w:color="auto" w:sz="6" w:space="0"/>
              <w:bottom w:val="single" w:color="auto" w:sz="6" w:space="0"/>
            </w:tcBorders>
            <w:noWrap w:val="0"/>
            <w:vAlign w:val="center"/>
          </w:tcPr>
          <w:p w14:paraId="1C4713B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2A615DA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9357FE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35B8EEE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0E00476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418F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vMerge w:val="restart"/>
            <w:tcBorders>
              <w:top w:val="single" w:color="auto" w:sz="6" w:space="0"/>
            </w:tcBorders>
            <w:noWrap w:val="0"/>
            <w:vAlign w:val="center"/>
          </w:tcPr>
          <w:p w14:paraId="01AA016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其他人员</w:t>
            </w:r>
          </w:p>
        </w:tc>
        <w:tc>
          <w:tcPr>
            <w:tcW w:w="1420" w:type="dxa"/>
            <w:noWrap w:val="0"/>
            <w:vAlign w:val="center"/>
          </w:tcPr>
          <w:p w14:paraId="3DBB63D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46694EC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A6021D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553FAB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EB32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vMerge w:val="continue"/>
            <w:noWrap w:val="0"/>
            <w:vAlign w:val="center"/>
          </w:tcPr>
          <w:p w14:paraId="7DB3167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tcBorders>
              <w:bottom w:val="nil"/>
            </w:tcBorders>
            <w:noWrap w:val="0"/>
            <w:vAlign w:val="center"/>
          </w:tcPr>
          <w:p w14:paraId="075E1CE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bottom w:val="nil"/>
            </w:tcBorders>
            <w:noWrap w:val="0"/>
            <w:vAlign w:val="center"/>
          </w:tcPr>
          <w:p w14:paraId="631EE15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bottom w:val="nil"/>
            </w:tcBorders>
            <w:noWrap w:val="0"/>
            <w:vAlign w:val="center"/>
          </w:tcPr>
          <w:p w14:paraId="5680908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tcBorders>
              <w:bottom w:val="nil"/>
            </w:tcBorders>
            <w:noWrap w:val="0"/>
            <w:vAlign w:val="center"/>
          </w:tcPr>
          <w:p w14:paraId="3090BB0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53B1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vMerge w:val="continue"/>
            <w:noWrap w:val="0"/>
            <w:vAlign w:val="center"/>
          </w:tcPr>
          <w:p w14:paraId="74947D7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3992E42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4524E2A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2510F33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63459DB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3430F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vMerge w:val="continue"/>
            <w:noWrap w:val="0"/>
            <w:vAlign w:val="center"/>
          </w:tcPr>
          <w:p w14:paraId="7E1B42F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5A568F9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059E624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36FB4B6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6D9795F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E5C9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5" w:hRule="atLeast"/>
          <w:jc w:val="center"/>
        </w:trPr>
        <w:tc>
          <w:tcPr>
            <w:tcW w:w="1873" w:type="dxa"/>
            <w:vMerge w:val="continue"/>
            <w:noWrap w:val="0"/>
            <w:vAlign w:val="center"/>
          </w:tcPr>
          <w:p w14:paraId="382ABA4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noWrap w:val="0"/>
            <w:vAlign w:val="center"/>
          </w:tcPr>
          <w:p w14:paraId="6E2EDB0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31DA992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noWrap w:val="0"/>
            <w:vAlign w:val="center"/>
          </w:tcPr>
          <w:p w14:paraId="0C42DB6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noWrap w:val="0"/>
            <w:vAlign w:val="center"/>
          </w:tcPr>
          <w:p w14:paraId="2A313C7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A7AB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1" w:hRule="atLeast"/>
          <w:jc w:val="center"/>
        </w:trPr>
        <w:tc>
          <w:tcPr>
            <w:tcW w:w="1873" w:type="dxa"/>
            <w:vMerge w:val="continue"/>
            <w:tcBorders>
              <w:bottom w:val="single" w:color="auto" w:sz="12" w:space="0"/>
            </w:tcBorders>
            <w:noWrap w:val="0"/>
            <w:vAlign w:val="center"/>
          </w:tcPr>
          <w:p w14:paraId="26C17A4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20" w:type="dxa"/>
            <w:tcBorders>
              <w:bottom w:val="single" w:color="auto" w:sz="12" w:space="0"/>
            </w:tcBorders>
            <w:noWrap w:val="0"/>
            <w:vAlign w:val="center"/>
          </w:tcPr>
          <w:p w14:paraId="115F4C3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bottom w:val="single" w:color="auto" w:sz="12" w:space="0"/>
            </w:tcBorders>
            <w:noWrap w:val="0"/>
            <w:vAlign w:val="center"/>
          </w:tcPr>
          <w:p w14:paraId="73542E9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5" w:type="dxa"/>
            <w:tcBorders>
              <w:bottom w:val="single" w:color="auto" w:sz="12" w:space="0"/>
            </w:tcBorders>
            <w:noWrap w:val="0"/>
            <w:vAlign w:val="center"/>
          </w:tcPr>
          <w:p w14:paraId="1CD500A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7" w:type="dxa"/>
            <w:tcBorders>
              <w:bottom w:val="single" w:color="auto" w:sz="12" w:space="0"/>
            </w:tcBorders>
            <w:noWrap w:val="0"/>
            <w:vAlign w:val="center"/>
          </w:tcPr>
          <w:p w14:paraId="3192BC1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bl>
    <w:p w14:paraId="2780F85F">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r>
        <w:rPr>
          <w:rFonts w:hint="eastAsia" w:ascii="宋体" w:hAnsi="宋体" w:eastAsia="宋体" w:cs="宋体"/>
          <w:color w:val="000000"/>
          <w:sz w:val="24"/>
          <w:szCs w:val="24"/>
          <w:highlight w:val="none"/>
        </w:rPr>
        <w:t>附</w:t>
      </w:r>
      <w:bookmarkStart w:id="727" w:name="_Toc296891269"/>
      <w:bookmarkStart w:id="728" w:name="_Toc296347228"/>
      <w:bookmarkStart w:id="729" w:name="_Toc296891057"/>
      <w:bookmarkStart w:id="730" w:name="_Toc296503229"/>
      <w:bookmarkStart w:id="731" w:name="_Toc296346730"/>
      <w:bookmarkStart w:id="732" w:name="_Toc296944568"/>
      <w:r>
        <w:rPr>
          <w:rFonts w:hint="eastAsia" w:ascii="宋体" w:hAnsi="宋体" w:eastAsia="宋体" w:cs="宋体"/>
          <w:color w:val="000000"/>
          <w:sz w:val="24"/>
          <w:szCs w:val="24"/>
          <w:highlight w:val="none"/>
        </w:rPr>
        <w:t>件7：</w:t>
      </w:r>
    </w:p>
    <w:bookmarkEnd w:id="727"/>
    <w:bookmarkEnd w:id="728"/>
    <w:bookmarkEnd w:id="729"/>
    <w:bookmarkEnd w:id="730"/>
    <w:bookmarkEnd w:id="731"/>
    <w:bookmarkEnd w:id="732"/>
    <w:p w14:paraId="13D7750E">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分包人主要施工管理人员表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FD5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94A173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    称</w:t>
            </w:r>
          </w:p>
        </w:tc>
        <w:tc>
          <w:tcPr>
            <w:tcW w:w="1418" w:type="dxa"/>
            <w:tcBorders>
              <w:top w:val="single" w:color="auto" w:sz="12" w:space="0"/>
              <w:bottom w:val="double" w:color="auto" w:sz="6" w:space="0"/>
            </w:tcBorders>
            <w:noWrap w:val="0"/>
            <w:vAlign w:val="center"/>
          </w:tcPr>
          <w:p w14:paraId="306B6FD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p>
        </w:tc>
        <w:tc>
          <w:tcPr>
            <w:tcW w:w="1134" w:type="dxa"/>
            <w:tcBorders>
              <w:top w:val="single" w:color="auto" w:sz="12" w:space="0"/>
              <w:bottom w:val="double" w:color="auto" w:sz="6" w:space="0"/>
            </w:tcBorders>
            <w:noWrap w:val="0"/>
            <w:vAlign w:val="center"/>
          </w:tcPr>
          <w:p w14:paraId="01BA3BE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职务</w:t>
            </w:r>
          </w:p>
        </w:tc>
        <w:tc>
          <w:tcPr>
            <w:tcW w:w="1134" w:type="dxa"/>
            <w:tcBorders>
              <w:top w:val="single" w:color="auto" w:sz="12" w:space="0"/>
              <w:bottom w:val="double" w:color="auto" w:sz="6" w:space="0"/>
            </w:tcBorders>
            <w:noWrap w:val="0"/>
            <w:vAlign w:val="center"/>
          </w:tcPr>
          <w:p w14:paraId="6B4243D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职称</w:t>
            </w:r>
          </w:p>
        </w:tc>
        <w:tc>
          <w:tcPr>
            <w:tcW w:w="4252" w:type="dxa"/>
            <w:tcBorders>
              <w:top w:val="single" w:color="auto" w:sz="12" w:space="0"/>
              <w:bottom w:val="double" w:color="auto" w:sz="6" w:space="0"/>
            </w:tcBorders>
            <w:noWrap w:val="0"/>
            <w:vAlign w:val="center"/>
          </w:tcPr>
          <w:p w14:paraId="57881A7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主要资历、经验及承担过的项目</w:t>
            </w:r>
          </w:p>
        </w:tc>
      </w:tr>
      <w:tr w14:paraId="4C92A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90A48D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一、总部人员</w:t>
            </w:r>
          </w:p>
        </w:tc>
      </w:tr>
      <w:tr w14:paraId="264C3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3866A2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项目主管</w:t>
            </w:r>
          </w:p>
        </w:tc>
        <w:tc>
          <w:tcPr>
            <w:tcW w:w="1418" w:type="dxa"/>
            <w:tcBorders>
              <w:top w:val="nil"/>
            </w:tcBorders>
            <w:noWrap w:val="0"/>
            <w:vAlign w:val="center"/>
          </w:tcPr>
          <w:p w14:paraId="68C1739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top w:val="nil"/>
            </w:tcBorders>
            <w:noWrap w:val="0"/>
            <w:vAlign w:val="center"/>
          </w:tcPr>
          <w:p w14:paraId="115BE23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top w:val="nil"/>
            </w:tcBorders>
            <w:noWrap w:val="0"/>
            <w:vAlign w:val="center"/>
          </w:tcPr>
          <w:p w14:paraId="7939EF4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tcBorders>
              <w:top w:val="nil"/>
            </w:tcBorders>
            <w:noWrap w:val="0"/>
            <w:vAlign w:val="center"/>
          </w:tcPr>
          <w:p w14:paraId="72CCC26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858D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6C1519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2F6552A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5F70DD2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749EC48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2F92AAE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25702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430A62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其他人员</w:t>
            </w:r>
          </w:p>
        </w:tc>
        <w:tc>
          <w:tcPr>
            <w:tcW w:w="1418" w:type="dxa"/>
            <w:noWrap w:val="0"/>
            <w:vAlign w:val="center"/>
          </w:tcPr>
          <w:p w14:paraId="4F351D9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5F94074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2B0EA78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4C0C8BE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D055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33B06F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00140CB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6208C78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2196D0F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486269C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759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DFE57D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二、现场人员</w:t>
            </w:r>
          </w:p>
        </w:tc>
      </w:tr>
      <w:tr w14:paraId="1A7063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218BE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1F1F9A9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78666B2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45173D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214A374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10700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EFC82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0F2155E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6690DE2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2A4863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7A5080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0C69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DCA5E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0766083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7CDC993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7B30234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7CD2B9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4069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FB315D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32CEC3A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6943143B">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25A6D49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2F56B6F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16751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C5F4F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4CFDE4F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1E61A13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6666A72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A8F9ED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17591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3826D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119BFEF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0FB04CF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7D4680B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6F7720F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CF9D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51226F">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7A72D2C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19899F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18A87D1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50E155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CC56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FB24DC">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7C05C7E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0256D52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5D2BDED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28FBCB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70C0C9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FFBC84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097EC0F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3DF2BDD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06092C1E">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E91BA1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01B21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14:paraId="3DB6C67A">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tcBorders>
              <w:bottom w:val="nil"/>
            </w:tcBorders>
            <w:noWrap w:val="0"/>
            <w:vAlign w:val="center"/>
          </w:tcPr>
          <w:p w14:paraId="14076BF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bottom w:val="nil"/>
            </w:tcBorders>
            <w:noWrap w:val="0"/>
            <w:vAlign w:val="center"/>
          </w:tcPr>
          <w:p w14:paraId="680BAA1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bottom w:val="nil"/>
            </w:tcBorders>
            <w:noWrap w:val="0"/>
            <w:vAlign w:val="center"/>
          </w:tcPr>
          <w:p w14:paraId="247D5F2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tcBorders>
              <w:bottom w:val="nil"/>
            </w:tcBorders>
            <w:noWrap w:val="0"/>
            <w:vAlign w:val="center"/>
          </w:tcPr>
          <w:p w14:paraId="738AEFF0">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DB81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31ADA3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4576D0D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179DD8A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6B2D378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1E7356C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648B8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D5B021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2AD9D457">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17CA97F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3F1DBEF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34AF8C6D">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47E2F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25B59B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noWrap w:val="0"/>
            <w:vAlign w:val="center"/>
          </w:tcPr>
          <w:p w14:paraId="73A5DAD2">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471905A1">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noWrap w:val="0"/>
            <w:vAlign w:val="center"/>
          </w:tcPr>
          <w:p w14:paraId="42F5E7D8">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noWrap w:val="0"/>
            <w:vAlign w:val="center"/>
          </w:tcPr>
          <w:p w14:paraId="289BB2D5">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r w14:paraId="55505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180CD6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418" w:type="dxa"/>
            <w:tcBorders>
              <w:bottom w:val="single" w:color="auto" w:sz="12" w:space="0"/>
            </w:tcBorders>
            <w:noWrap w:val="0"/>
            <w:vAlign w:val="center"/>
          </w:tcPr>
          <w:p w14:paraId="486CBC39">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bottom w:val="single" w:color="auto" w:sz="12" w:space="0"/>
            </w:tcBorders>
            <w:noWrap w:val="0"/>
            <w:vAlign w:val="center"/>
          </w:tcPr>
          <w:p w14:paraId="43289786">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1134" w:type="dxa"/>
            <w:tcBorders>
              <w:bottom w:val="single" w:color="auto" w:sz="12" w:space="0"/>
            </w:tcBorders>
            <w:noWrap w:val="0"/>
            <w:vAlign w:val="center"/>
          </w:tcPr>
          <w:p w14:paraId="7BED2384">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c>
          <w:tcPr>
            <w:tcW w:w="4252" w:type="dxa"/>
            <w:tcBorders>
              <w:bottom w:val="single" w:color="auto" w:sz="12" w:space="0"/>
            </w:tcBorders>
            <w:noWrap w:val="0"/>
            <w:vAlign w:val="center"/>
          </w:tcPr>
          <w:p w14:paraId="0FBBDA33">
            <w:pPr>
              <w:pStyle w:val="5"/>
              <w:keepNext/>
              <w:pageBreakBefore w:val="0"/>
              <w:tabs>
                <w:tab w:val="left" w:pos="1160"/>
                <w:tab w:val="left" w:pos="2423"/>
              </w:tabs>
              <w:kinsoku/>
              <w:wordWrap/>
              <w:overflowPunct/>
              <w:topLinePunct w:val="0"/>
              <w:bidi w:val="0"/>
              <w:spacing w:line="440" w:lineRule="exact"/>
              <w:ind w:left="63" w:right="63"/>
              <w:textAlignment w:val="auto"/>
              <w:outlineLvl w:val="9"/>
              <w:rPr>
                <w:rFonts w:hint="eastAsia" w:ascii="宋体" w:hAnsi="宋体" w:eastAsia="宋体" w:cs="宋体"/>
                <w:color w:val="000000"/>
                <w:sz w:val="24"/>
                <w:szCs w:val="24"/>
                <w:highlight w:val="none"/>
              </w:rPr>
            </w:pPr>
          </w:p>
        </w:tc>
      </w:tr>
    </w:tbl>
    <w:p w14:paraId="32EE15B0">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bookmarkStart w:id="733" w:name="_Toc267261701"/>
      <w:r>
        <w:rPr>
          <w:rFonts w:hint="eastAsia" w:ascii="宋体" w:hAnsi="宋体" w:eastAsia="宋体" w:cs="宋体"/>
          <w:color w:val="000000"/>
          <w:sz w:val="24"/>
          <w:szCs w:val="24"/>
          <w:highlight w:val="none"/>
        </w:rPr>
        <w:t>附</w:t>
      </w:r>
      <w:bookmarkStart w:id="734" w:name="_Toc296944570"/>
      <w:bookmarkStart w:id="735" w:name="_Toc296891059"/>
      <w:bookmarkStart w:id="736" w:name="_Toc296347230"/>
      <w:bookmarkStart w:id="737" w:name="_Toc296346732"/>
      <w:bookmarkStart w:id="738" w:name="_Toc296891271"/>
      <w:bookmarkStart w:id="739" w:name="_Toc296503231"/>
      <w:r>
        <w:rPr>
          <w:rFonts w:hint="eastAsia" w:ascii="宋体" w:hAnsi="宋体" w:eastAsia="宋体" w:cs="宋体"/>
          <w:color w:val="000000"/>
          <w:sz w:val="24"/>
          <w:szCs w:val="24"/>
          <w:highlight w:val="none"/>
        </w:rPr>
        <w:t>件8：</w:t>
      </w:r>
    </w:p>
    <w:bookmarkEnd w:id="733"/>
    <w:bookmarkEnd w:id="734"/>
    <w:bookmarkEnd w:id="735"/>
    <w:bookmarkEnd w:id="736"/>
    <w:bookmarkEnd w:id="737"/>
    <w:bookmarkEnd w:id="738"/>
    <w:bookmarkEnd w:id="739"/>
    <w:p w14:paraId="76310915">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履约担保</w:t>
      </w:r>
    </w:p>
    <w:p w14:paraId="69E7F9B8">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（发包人名称）：</w:t>
      </w:r>
    </w:p>
    <w:p w14:paraId="67F5D8E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w:t>
      </w:r>
      <w:r>
        <w:rPr>
          <w:rFonts w:hint="eastAsia" w:ascii="宋体" w:hAnsi="宋体" w:eastAsia="宋体" w:cs="宋体"/>
          <w:color w:val="000000"/>
          <w:sz w:val="24"/>
          <w:szCs w:val="24"/>
          <w:highlight w:val="none"/>
          <w:u w:val="single"/>
        </w:rPr>
        <w:t xml:space="preserve">    （发包人名称）    </w:t>
      </w:r>
      <w:r>
        <w:rPr>
          <w:rFonts w:hint="eastAsia" w:ascii="宋体" w:hAnsi="宋体" w:eastAsia="宋体" w:cs="宋体"/>
          <w:color w:val="000000"/>
          <w:sz w:val="24"/>
          <w:szCs w:val="24"/>
          <w:highlight w:val="none"/>
        </w:rPr>
        <w:t>，以下简称“发包人”）与</w:t>
      </w:r>
      <w:r>
        <w:rPr>
          <w:rFonts w:hint="eastAsia" w:ascii="宋体" w:hAnsi="宋体" w:eastAsia="宋体" w:cs="宋体"/>
          <w:color w:val="000000"/>
          <w:sz w:val="24"/>
          <w:szCs w:val="24"/>
          <w:highlight w:val="none"/>
          <w:u w:val="single"/>
        </w:rPr>
        <w:t xml:space="preserve">   （承包人名称）    </w:t>
      </w:r>
      <w:r>
        <w:rPr>
          <w:rFonts w:hint="eastAsia" w:ascii="宋体" w:hAnsi="宋体" w:eastAsia="宋体" w:cs="宋体"/>
          <w:color w:val="000000"/>
          <w:sz w:val="24"/>
          <w:szCs w:val="24"/>
          <w:highlight w:val="none"/>
        </w:rPr>
        <w:t>（以下称“承包人”）于年月日就</w:t>
      </w:r>
      <w:r>
        <w:rPr>
          <w:rFonts w:hint="eastAsia" w:ascii="宋体" w:hAnsi="宋体" w:eastAsia="宋体" w:cs="宋体"/>
          <w:color w:val="000000"/>
          <w:sz w:val="24"/>
          <w:szCs w:val="24"/>
          <w:highlight w:val="none"/>
          <w:u w:val="single"/>
        </w:rPr>
        <w:t xml:space="preserve">   （工程名称）   </w:t>
      </w:r>
      <w:r>
        <w:rPr>
          <w:rFonts w:hint="eastAsia" w:ascii="宋体" w:hAnsi="宋体" w:eastAsia="宋体" w:cs="宋体"/>
          <w:color w:val="000000"/>
          <w:sz w:val="24"/>
          <w:szCs w:val="24"/>
          <w:highlight w:val="none"/>
        </w:rPr>
        <w:t xml:space="preserve">施工及有关事项协商一致共同签订《建设工程施工合同》。我方愿意无条件地、不可撤销地就承包人履行与你方签订的合同，向你方提供连带责任担保。 </w:t>
      </w:r>
    </w:p>
    <w:p w14:paraId="2D61883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4F38FDE3">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担保有效期自你方与承包人签订的合同生效之日起至你方签发或应签发工程接收证书之日止。</w:t>
      </w:r>
    </w:p>
    <w:p w14:paraId="0226F492">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14:paraId="76630165">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你方和承包人按合同约定变更合同时，我方承担本担保规定的义务不变。</w:t>
      </w:r>
    </w:p>
    <w:p w14:paraId="2BAAD5D4">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因本保函发生的纠纷，可由双方协商解决，协商不成的，任何一方均可提请仲裁委员会仲裁。</w:t>
      </w:r>
    </w:p>
    <w:p w14:paraId="3E320C19">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本保函自我方法定代表人（或其授权代理人）签字并加盖公章之日起生效。</w:t>
      </w:r>
    </w:p>
    <w:p w14:paraId="1E8078B7">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p>
    <w:p w14:paraId="2F1CA7F0">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担保人：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7D083DF2">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14:paraId="7B54CE9D">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301B9317">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50A57C43">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765FBF6E">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480318E3">
      <w:pPr>
        <w:pageBreakBefore w:val="0"/>
        <w:kinsoku/>
        <w:wordWrap/>
        <w:overflowPunct/>
        <w:topLinePunct w:val="0"/>
        <w:bidi w:val="0"/>
        <w:spacing w:line="360" w:lineRule="auto"/>
        <w:ind w:firstLine="4560" w:firstLineChars="19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日</w:t>
      </w:r>
    </w:p>
    <w:p w14:paraId="75CC0CB8">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附</w:t>
      </w:r>
      <w:bookmarkStart w:id="740" w:name="_Toc296346733"/>
      <w:bookmarkStart w:id="741" w:name="_Toc267261702"/>
      <w:bookmarkStart w:id="742" w:name="_Toc296891060"/>
      <w:bookmarkStart w:id="743" w:name="_Toc296944571"/>
      <w:bookmarkStart w:id="744" w:name="_Toc296347231"/>
      <w:bookmarkStart w:id="745" w:name="_Toc296891272"/>
      <w:bookmarkStart w:id="746" w:name="_Toc296503232"/>
      <w:r>
        <w:rPr>
          <w:rFonts w:hint="eastAsia" w:ascii="宋体" w:hAnsi="宋体" w:eastAsia="宋体" w:cs="宋体"/>
          <w:color w:val="000000"/>
          <w:sz w:val="24"/>
          <w:szCs w:val="24"/>
          <w:highlight w:val="none"/>
        </w:rPr>
        <w:t>件9 ：</w:t>
      </w:r>
    </w:p>
    <w:bookmarkEnd w:id="740"/>
    <w:bookmarkEnd w:id="741"/>
    <w:bookmarkEnd w:id="742"/>
    <w:bookmarkEnd w:id="743"/>
    <w:bookmarkEnd w:id="744"/>
    <w:bookmarkEnd w:id="745"/>
    <w:bookmarkEnd w:id="746"/>
    <w:p w14:paraId="7AB1FC03">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预付款担保</w:t>
      </w:r>
    </w:p>
    <w:p w14:paraId="1CA36908">
      <w:pPr>
        <w:keepNext w:val="0"/>
        <w:keepLines w:val="0"/>
        <w:pageBreakBefore w:val="0"/>
        <w:widowControl w:val="0"/>
        <w:kinsoku/>
        <w:wordWrap/>
        <w:overflowPunct/>
        <w:topLinePunct w:val="0"/>
        <w:autoSpaceDE/>
        <w:autoSpaceDN/>
        <w:bidi w:val="0"/>
        <w:adjustRightInd/>
        <w:snapToGrid/>
        <w:spacing w:line="470" w:lineRule="exact"/>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（发包人名称）：</w:t>
      </w:r>
    </w:p>
    <w:p w14:paraId="6028D0F9">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w:t>
      </w:r>
      <w:r>
        <w:rPr>
          <w:rFonts w:hint="eastAsia" w:ascii="宋体" w:hAnsi="宋体" w:eastAsia="宋体" w:cs="宋体"/>
          <w:color w:val="000000"/>
          <w:sz w:val="24"/>
          <w:szCs w:val="24"/>
          <w:highlight w:val="none"/>
          <w:u w:val="single"/>
        </w:rPr>
        <w:t xml:space="preserve">   （承包人名称）   </w:t>
      </w:r>
      <w:r>
        <w:rPr>
          <w:rFonts w:hint="eastAsia" w:ascii="宋体" w:hAnsi="宋体" w:eastAsia="宋体" w:cs="宋体"/>
          <w:color w:val="000000"/>
          <w:sz w:val="24"/>
          <w:szCs w:val="24"/>
          <w:highlight w:val="none"/>
        </w:rPr>
        <w:t>（以下称“承包人”）与</w:t>
      </w:r>
      <w:r>
        <w:rPr>
          <w:rFonts w:hint="eastAsia" w:ascii="宋体" w:hAnsi="宋体" w:eastAsia="宋体" w:cs="宋体"/>
          <w:color w:val="000000"/>
          <w:sz w:val="24"/>
          <w:szCs w:val="24"/>
          <w:highlight w:val="none"/>
          <w:u w:val="single"/>
        </w:rPr>
        <w:t xml:space="preserve">   （发包人名称）   </w:t>
      </w:r>
      <w:r>
        <w:rPr>
          <w:rFonts w:hint="eastAsia" w:ascii="宋体" w:hAnsi="宋体" w:eastAsia="宋体" w:cs="宋体"/>
          <w:color w:val="000000"/>
          <w:sz w:val="24"/>
          <w:szCs w:val="24"/>
          <w:highlight w:val="none"/>
        </w:rPr>
        <w:t>（以下简称“发包人”）于年月日签订的</w:t>
      </w:r>
      <w:r>
        <w:rPr>
          <w:rFonts w:hint="eastAsia" w:ascii="宋体" w:hAnsi="宋体" w:eastAsia="宋体" w:cs="宋体"/>
          <w:color w:val="000000"/>
          <w:sz w:val="24"/>
          <w:szCs w:val="24"/>
          <w:highlight w:val="none"/>
          <w:u w:val="single"/>
        </w:rPr>
        <w:t xml:space="preserve">   （工程名称）   </w:t>
      </w:r>
      <w:r>
        <w:rPr>
          <w:rFonts w:hint="eastAsia" w:ascii="宋体" w:hAnsi="宋体" w:eastAsia="宋体" w:cs="宋体"/>
          <w:color w:val="000000"/>
          <w:sz w:val="24"/>
          <w:szCs w:val="24"/>
          <w:highlight w:val="none"/>
        </w:rPr>
        <w:t>《建设工程施工合同》，承包人按约定的金额向你方提交一份预付款担保，即有权得到你方支付相等金额的预付款。我方愿意就你方提供给承包人的预付款为承包人提供连带责任担保。</w:t>
      </w:r>
    </w:p>
    <w:p w14:paraId="14578E98">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担保金额人民币（大写）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7801D60E">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担保有效期自预付款支付给承包人起生效，至你方签发的进度款支付证书说明已完全扣清止。</w:t>
      </w:r>
    </w:p>
    <w:p w14:paraId="5D4FB998">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36908E4">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你方和承包人按合同约定变更合同时，我方承担本保函规定的义务不变。</w:t>
      </w:r>
    </w:p>
    <w:p w14:paraId="031866EE">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因本保函发生的纠纷，可由双方协商解决，协商不成的，任何一方均可提请仲裁委员会仲裁。</w:t>
      </w:r>
    </w:p>
    <w:p w14:paraId="41AE7FB2">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 本保函自我方法定代表人（或其授权代理人）签字并加盖公章之日起生效。</w:t>
      </w:r>
    </w:p>
    <w:p w14:paraId="689E9C78">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p>
    <w:p w14:paraId="682BE377">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担保人：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271BCB50">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（签字）</w:t>
      </w:r>
    </w:p>
    <w:p w14:paraId="5F677D59">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1A8A7F14">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0A11C758">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3AC0D254">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23BFC05B">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u w:val="single"/>
        </w:rPr>
      </w:pPr>
    </w:p>
    <w:p w14:paraId="1392E8F9">
      <w:pPr>
        <w:pageBreakBefore w:val="0"/>
        <w:kinsoku/>
        <w:wordWrap/>
        <w:overflowPunct/>
        <w:topLinePunct w:val="0"/>
        <w:bidi w:val="0"/>
        <w:spacing w:line="360" w:lineRule="auto"/>
        <w:ind w:firstLine="4560" w:firstLineChars="19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日</w:t>
      </w:r>
    </w:p>
    <w:p w14:paraId="74D31DD0">
      <w:pPr>
        <w:pageBreakBefore w:val="0"/>
        <w:kinsoku/>
        <w:wordWrap/>
        <w:overflowPunct/>
        <w:topLinePunct w:val="0"/>
        <w:bidi w:val="0"/>
        <w:spacing w:line="440" w:lineRule="exact"/>
        <w:textAlignment w:val="auto"/>
        <w:outlineLvl w:val="9"/>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br w:type="page"/>
      </w:r>
      <w:r>
        <w:rPr>
          <w:rFonts w:hint="eastAsia" w:ascii="宋体" w:hAnsi="宋体" w:eastAsia="宋体" w:cs="宋体"/>
          <w:color w:val="000000"/>
          <w:sz w:val="24"/>
          <w:szCs w:val="24"/>
          <w:highlight w:val="none"/>
        </w:rPr>
        <w:t>附</w:t>
      </w:r>
      <w:bookmarkStart w:id="747" w:name="_Toc296891273"/>
      <w:bookmarkStart w:id="748" w:name="_Toc296346734"/>
      <w:bookmarkStart w:id="749" w:name="_Toc296347232"/>
      <w:bookmarkStart w:id="750" w:name="_Toc296891061"/>
      <w:bookmarkStart w:id="751" w:name="_Toc296503233"/>
      <w:bookmarkStart w:id="752" w:name="_Toc296944572"/>
      <w:r>
        <w:rPr>
          <w:rFonts w:hint="eastAsia" w:ascii="宋体" w:hAnsi="宋体" w:eastAsia="宋体" w:cs="宋体"/>
          <w:color w:val="000000"/>
          <w:sz w:val="24"/>
          <w:szCs w:val="24"/>
          <w:highlight w:val="none"/>
        </w:rPr>
        <w:t xml:space="preserve">件10:  </w:t>
      </w:r>
    </w:p>
    <w:bookmarkEnd w:id="747"/>
    <w:bookmarkEnd w:id="748"/>
    <w:bookmarkEnd w:id="749"/>
    <w:bookmarkEnd w:id="750"/>
    <w:bookmarkEnd w:id="751"/>
    <w:bookmarkEnd w:id="752"/>
    <w:p w14:paraId="710C15D6">
      <w:pPr>
        <w:pageBreakBefore w:val="0"/>
        <w:kinsoku/>
        <w:wordWrap/>
        <w:overflowPunct/>
        <w:topLinePunct w:val="0"/>
        <w:bidi w:val="0"/>
        <w:spacing w:before="156" w:beforeLines="50" w:after="156" w:afterLines="50" w:line="440" w:lineRule="exact"/>
        <w:jc w:val="center"/>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支付担保</w:t>
      </w:r>
    </w:p>
    <w:p w14:paraId="4F730C3E">
      <w:pPr>
        <w:pageBreakBefore w:val="0"/>
        <w:kinsoku/>
        <w:wordWrap/>
        <w:overflowPunct/>
        <w:topLinePunct w:val="0"/>
        <w:bidi w:val="0"/>
        <w:spacing w:line="440" w:lineRule="exact"/>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（承包人）：</w:t>
      </w:r>
    </w:p>
    <w:p w14:paraId="6F01F254">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p>
    <w:p w14:paraId="7BCAC6D1">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鉴于你方作为承包人已经与</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（发包人名称）</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（以下称“发包人”）于年月日签订了</w:t>
      </w:r>
      <w:r>
        <w:rPr>
          <w:rFonts w:hint="eastAsia" w:ascii="宋体" w:hAnsi="宋体" w:eastAsia="宋体" w:cs="宋体"/>
          <w:color w:val="000000"/>
          <w:sz w:val="24"/>
          <w:szCs w:val="24"/>
          <w:highlight w:val="none"/>
          <w:u w:val="single"/>
        </w:rPr>
        <w:t xml:space="preserve">  （工程名称）  </w:t>
      </w:r>
      <w:r>
        <w:rPr>
          <w:rFonts w:hint="eastAsia" w:ascii="宋体" w:hAnsi="宋体" w:eastAsia="宋体" w:cs="宋体"/>
          <w:color w:val="000000"/>
          <w:sz w:val="24"/>
          <w:szCs w:val="24"/>
          <w:highlight w:val="none"/>
        </w:rPr>
        <w:t>《建设工程施工合同》（以下称“主合同”），应发包人的申请，我方愿就发包人履行主合同约定的工程款支付义务以保证的方式向你方提供如下担保：</w:t>
      </w:r>
    </w:p>
    <w:p w14:paraId="1B168BE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53" w:name="_Toc27370"/>
      <w:bookmarkStart w:id="754" w:name="_Toc9997"/>
      <w:bookmarkStart w:id="755" w:name="_Toc31234"/>
      <w:r>
        <w:rPr>
          <w:rFonts w:hint="eastAsia" w:ascii="宋体" w:hAnsi="宋体" w:eastAsia="宋体" w:cs="宋体"/>
          <w:color w:val="000000"/>
          <w:sz w:val="24"/>
          <w:szCs w:val="24"/>
          <w:highlight w:val="none"/>
        </w:rPr>
        <w:t>一、保证的范围及保证金额</w:t>
      </w:r>
      <w:bookmarkEnd w:id="753"/>
      <w:bookmarkEnd w:id="754"/>
      <w:bookmarkEnd w:id="755"/>
    </w:p>
    <w:p w14:paraId="6DC2B13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我方的保证范围是主合同约定的工程款。</w:t>
      </w:r>
    </w:p>
    <w:p w14:paraId="0EAF3DB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本保函所称主合同约定的工程款是指主合同约定的除工程质量保证金以外的合同价款。</w:t>
      </w:r>
    </w:p>
    <w:p w14:paraId="603D17F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我方保证的金额是主合同约定的工程款的%，数额最高不超过人民币元（大写：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3A84A47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56" w:name="_Toc30073"/>
      <w:bookmarkStart w:id="757" w:name="_Toc7653"/>
      <w:bookmarkStart w:id="758" w:name="_Toc25126"/>
      <w:r>
        <w:rPr>
          <w:rFonts w:hint="eastAsia" w:ascii="宋体" w:hAnsi="宋体" w:eastAsia="宋体" w:cs="宋体"/>
          <w:color w:val="000000"/>
          <w:sz w:val="24"/>
          <w:szCs w:val="24"/>
          <w:highlight w:val="none"/>
        </w:rPr>
        <w:t>二、保证的方式及保证期间</w:t>
      </w:r>
      <w:bookmarkEnd w:id="756"/>
      <w:bookmarkEnd w:id="757"/>
      <w:bookmarkEnd w:id="758"/>
    </w:p>
    <w:p w14:paraId="7B19EDA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我方保证的方式为：连带责任保证。</w:t>
      </w:r>
    </w:p>
    <w:p w14:paraId="67BBD87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我方保证的期间为：自本合同生效之日起至主合同约定的工程款支付完毕之日后日内。</w:t>
      </w:r>
    </w:p>
    <w:p w14:paraId="422BC9D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你方与发包人协议变更工程款支付日期的，经我方书面同意后，保证期间按照变更后的支付日期做相应调整。</w:t>
      </w:r>
    </w:p>
    <w:p w14:paraId="7F70FCA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59" w:name="_Toc11583"/>
      <w:bookmarkStart w:id="760" w:name="_Toc30692"/>
      <w:bookmarkStart w:id="761" w:name="_Toc32267"/>
      <w:r>
        <w:rPr>
          <w:rFonts w:hint="eastAsia" w:ascii="宋体" w:hAnsi="宋体" w:eastAsia="宋体" w:cs="宋体"/>
          <w:color w:val="000000"/>
          <w:sz w:val="24"/>
          <w:szCs w:val="24"/>
          <w:highlight w:val="none"/>
        </w:rPr>
        <w:t>三、承担保证责任的形式</w:t>
      </w:r>
      <w:bookmarkEnd w:id="759"/>
      <w:bookmarkEnd w:id="760"/>
      <w:bookmarkEnd w:id="761"/>
    </w:p>
    <w:p w14:paraId="4F90039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我方承担保证责任的形式是代为支付。发包人未按主合同约定向你方支付工程款的，由我方在保证金额内代为支付。</w:t>
      </w:r>
    </w:p>
    <w:p w14:paraId="087F17A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62" w:name="_Toc22225"/>
      <w:bookmarkStart w:id="763" w:name="_Toc10687"/>
      <w:bookmarkStart w:id="764" w:name="_Toc3461"/>
      <w:r>
        <w:rPr>
          <w:rFonts w:hint="eastAsia" w:ascii="宋体" w:hAnsi="宋体" w:eastAsia="宋体" w:cs="宋体"/>
          <w:color w:val="000000"/>
          <w:sz w:val="24"/>
          <w:szCs w:val="24"/>
          <w:highlight w:val="none"/>
        </w:rPr>
        <w:t>四、代偿的安排</w:t>
      </w:r>
      <w:bookmarkEnd w:id="762"/>
      <w:bookmarkEnd w:id="763"/>
      <w:bookmarkEnd w:id="764"/>
    </w:p>
    <w:p w14:paraId="1784005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09BABEE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31126DD5">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我方收到你方的书面索赔通知及相应的证明材料后７天内无条件支付。</w:t>
      </w:r>
    </w:p>
    <w:p w14:paraId="767AE27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65" w:name="_Toc14647"/>
      <w:bookmarkStart w:id="766" w:name="_Toc15796"/>
      <w:bookmarkStart w:id="767" w:name="_Toc8791"/>
      <w:r>
        <w:rPr>
          <w:rFonts w:hint="eastAsia" w:ascii="宋体" w:hAnsi="宋体" w:eastAsia="宋体" w:cs="宋体"/>
          <w:color w:val="000000"/>
          <w:sz w:val="24"/>
          <w:szCs w:val="24"/>
          <w:highlight w:val="none"/>
        </w:rPr>
        <w:t>五、保证责任的解除</w:t>
      </w:r>
      <w:bookmarkEnd w:id="765"/>
      <w:bookmarkEnd w:id="766"/>
      <w:bookmarkEnd w:id="767"/>
    </w:p>
    <w:p w14:paraId="7E79D6C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在本保函承诺的保证期间内，你方未书面向我方主张保证责任的，自保证期间届满次日起，我方保证责任解除。</w:t>
      </w:r>
    </w:p>
    <w:p w14:paraId="34562929">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发包人按主合同约定履行了工程款的全部支付义务的，自本保函承诺的保证期间届满次日起，我方保证责任解除。</w:t>
      </w:r>
    </w:p>
    <w:p w14:paraId="71ED1E9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我方按照本保函向你方履行保证责任所支付金额达到本保函保证金额时，自我方向你方支付（支付款项从我方账户划出）之日起，保证责任即解除。</w:t>
      </w:r>
    </w:p>
    <w:p w14:paraId="1EF901B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按照法律法规的规定或出现应解除我方保证责任的其他情形的，我方在本保函项下的保证责任亦解除。</w:t>
      </w:r>
    </w:p>
    <w:p w14:paraId="0C48B96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 我方解除保证责任后，你方应自我方保证责任解除之日起个工作日内，将本保函原件返还我方。</w:t>
      </w:r>
    </w:p>
    <w:p w14:paraId="4864226F">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68" w:name="_Toc25861"/>
      <w:bookmarkStart w:id="769" w:name="_Toc17088"/>
      <w:bookmarkStart w:id="770" w:name="_Toc13730"/>
      <w:r>
        <w:rPr>
          <w:rFonts w:hint="eastAsia" w:ascii="宋体" w:hAnsi="宋体" w:eastAsia="宋体" w:cs="宋体"/>
          <w:color w:val="000000"/>
          <w:sz w:val="24"/>
          <w:szCs w:val="24"/>
          <w:highlight w:val="none"/>
        </w:rPr>
        <w:t>六、免责条款</w:t>
      </w:r>
      <w:bookmarkEnd w:id="768"/>
      <w:bookmarkEnd w:id="769"/>
      <w:bookmarkEnd w:id="770"/>
    </w:p>
    <w:p w14:paraId="1904EAC0">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 因你方违约致使发包人不能履行义务的，我方不承担保证责任。</w:t>
      </w:r>
    </w:p>
    <w:p w14:paraId="2702ABCA">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 依照法律法规的规定或你方与发包人的另行约定，免除发包人部分或全部义务的，我方亦免除其相应的保证责任。</w:t>
      </w:r>
    </w:p>
    <w:p w14:paraId="0438A992">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76F6AE5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 因不可抗力造成发包人不能履行义务的，我方不承担保证责任。</w:t>
      </w:r>
    </w:p>
    <w:p w14:paraId="689878CD">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71" w:name="_Toc21195"/>
      <w:bookmarkStart w:id="772" w:name="_Toc7813"/>
      <w:bookmarkStart w:id="773" w:name="_Toc21178"/>
      <w:r>
        <w:rPr>
          <w:rFonts w:hint="eastAsia" w:ascii="宋体" w:hAnsi="宋体" w:eastAsia="宋体" w:cs="宋体"/>
          <w:color w:val="000000"/>
          <w:sz w:val="24"/>
          <w:szCs w:val="24"/>
          <w:highlight w:val="none"/>
        </w:rPr>
        <w:t>七、争议解决</w:t>
      </w:r>
      <w:bookmarkEnd w:id="771"/>
      <w:bookmarkEnd w:id="772"/>
      <w:bookmarkEnd w:id="773"/>
    </w:p>
    <w:p w14:paraId="6656CBDD">
      <w:pPr>
        <w:pageBreakBefore w:val="0"/>
        <w:kinsoku/>
        <w:wordWrap/>
        <w:overflowPunct/>
        <w:topLinePunct w:val="0"/>
        <w:bidi w:val="0"/>
        <w:spacing w:after="120"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因本保函或本保函相关事项发生的纠纷，可由双方协商解决，协商不成的，按下列第种方式解决：</w:t>
      </w:r>
    </w:p>
    <w:p w14:paraId="175BB553">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（1）向仲裁委员会申请仲裁；</w:t>
      </w:r>
    </w:p>
    <w:p w14:paraId="20BD5AAE">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（2）向人民法院起诉。</w:t>
      </w:r>
    </w:p>
    <w:p w14:paraId="5F70AE17">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bookmarkStart w:id="774" w:name="_Toc30326"/>
      <w:bookmarkStart w:id="775" w:name="_Toc3293"/>
      <w:bookmarkStart w:id="776" w:name="_Toc1894"/>
      <w:r>
        <w:rPr>
          <w:rFonts w:hint="eastAsia" w:ascii="宋体" w:hAnsi="宋体" w:eastAsia="宋体" w:cs="宋体"/>
          <w:color w:val="000000"/>
          <w:sz w:val="24"/>
          <w:szCs w:val="24"/>
          <w:highlight w:val="none"/>
        </w:rPr>
        <w:t>八、保函的生效</w:t>
      </w:r>
      <w:bookmarkEnd w:id="774"/>
      <w:bookmarkEnd w:id="775"/>
      <w:bookmarkEnd w:id="776"/>
    </w:p>
    <w:p w14:paraId="2BD5F6BC">
      <w:pPr>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本保函自我方法定代表人（或其授权代理人）签字并加盖公章之日起生效。</w:t>
      </w:r>
    </w:p>
    <w:p w14:paraId="1103A403">
      <w:pPr>
        <w:pageBreakBefore w:val="0"/>
        <w:kinsoku/>
        <w:wordWrap/>
        <w:overflowPunct/>
        <w:topLinePunct w:val="0"/>
        <w:bidi w:val="0"/>
        <w:spacing w:line="360" w:lineRule="auto"/>
        <w:textAlignment w:val="auto"/>
        <w:outlineLvl w:val="9"/>
        <w:rPr>
          <w:rFonts w:hint="eastAsia" w:ascii="宋体" w:hAnsi="宋体" w:eastAsia="宋体" w:cs="宋体"/>
          <w:color w:val="000000"/>
          <w:sz w:val="24"/>
          <w:szCs w:val="24"/>
          <w:highlight w:val="none"/>
        </w:rPr>
      </w:pPr>
    </w:p>
    <w:p w14:paraId="3DD21FA8">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担保人：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069989B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（签字）</w:t>
      </w:r>
    </w:p>
    <w:p w14:paraId="396A7AD6">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742086DA">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p>
    <w:p w14:paraId="5676707B">
      <w:pPr>
        <w:pageBreakBefore w:val="0"/>
        <w:kinsoku/>
        <w:wordWrap/>
        <w:overflowPunct/>
        <w:topLinePunct w:val="0"/>
        <w:bidi w:val="0"/>
        <w:spacing w:line="360" w:lineRule="auto"/>
        <w:ind w:firstLine="4320" w:firstLineChars="1800"/>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u w:val="single"/>
        </w:rPr>
        <w:tab/>
      </w:r>
      <w:r>
        <w:rPr>
          <w:rFonts w:hint="eastAsia" w:ascii="宋体" w:hAnsi="宋体" w:eastAsia="宋体" w:cs="宋体"/>
          <w:color w:val="000000"/>
          <w:sz w:val="24"/>
          <w:szCs w:val="24"/>
          <w:highlight w:val="none"/>
        </w:rPr>
        <w:t>日</w:t>
      </w:r>
    </w:p>
    <w:p w14:paraId="73563E85">
      <w:pPr>
        <w:pageBreakBefore w:val="0"/>
        <w:kinsoku/>
        <w:wordWrap/>
        <w:overflowPunct/>
        <w:topLinePunct w:val="0"/>
        <w:bidi w:val="0"/>
        <w:textAlignment w:val="auto"/>
        <w:outlineLvl w:val="9"/>
        <w:rPr>
          <w:rFonts w:hint="eastAsia" w:ascii="宋体" w:hAnsi="宋体" w:eastAsia="宋体" w:cs="宋体"/>
          <w:highlight w:val="none"/>
        </w:rPr>
      </w:pPr>
    </w:p>
    <w:p w14:paraId="6ACD9FE8">
      <w:pPr>
        <w:pageBreakBefore w:val="0"/>
        <w:kinsoku/>
        <w:wordWrap/>
        <w:overflowPunct/>
        <w:topLinePunct w:val="0"/>
        <w:bidi w:val="0"/>
        <w:spacing w:line="360" w:lineRule="atLeast"/>
        <w:textAlignment w:val="auto"/>
        <w:outlineLvl w:val="9"/>
        <w:rPr>
          <w:rFonts w:hint="eastAsia" w:ascii="宋体" w:hAnsi="宋体" w:eastAsia="宋体" w:cs="宋体"/>
          <w:b/>
          <w:color w:val="auto"/>
          <w:szCs w:val="28"/>
          <w:highlight w:val="none"/>
        </w:rPr>
      </w:pPr>
    </w:p>
    <w:p w14:paraId="013BC06E">
      <w:pPr>
        <w:spacing w:line="360" w:lineRule="atLeast"/>
        <w:rPr>
          <w:rFonts w:hint="eastAsia" w:ascii="宋体" w:hAnsi="宋体" w:eastAsia="宋体" w:cs="宋体"/>
          <w:b/>
          <w:color w:val="auto"/>
          <w:szCs w:val="28"/>
          <w:highlight w:val="none"/>
        </w:rPr>
      </w:pPr>
    </w:p>
    <w:p w14:paraId="094259C4">
      <w:pPr>
        <w:spacing w:line="360" w:lineRule="atLeast"/>
        <w:rPr>
          <w:rFonts w:hint="eastAsia" w:ascii="宋体" w:hAnsi="宋体" w:eastAsia="宋体" w:cs="宋体"/>
          <w:b/>
          <w:color w:val="auto"/>
          <w:szCs w:val="28"/>
          <w:highlight w:val="none"/>
        </w:rPr>
      </w:pPr>
    </w:p>
    <w:p w14:paraId="50DCAB67">
      <w:pPr>
        <w:spacing w:line="360" w:lineRule="atLeast"/>
        <w:rPr>
          <w:rFonts w:hint="eastAsia" w:ascii="宋体" w:hAnsi="宋体" w:eastAsia="宋体" w:cs="宋体"/>
          <w:b/>
          <w:color w:val="auto"/>
          <w:szCs w:val="28"/>
          <w:highlight w:val="none"/>
        </w:rPr>
      </w:pPr>
    </w:p>
    <w:p w14:paraId="46300C96">
      <w:pPr>
        <w:spacing w:line="360" w:lineRule="atLeast"/>
        <w:rPr>
          <w:rFonts w:hint="eastAsia" w:ascii="宋体" w:hAnsi="宋体" w:eastAsia="宋体" w:cs="宋体"/>
          <w:b/>
          <w:color w:val="auto"/>
          <w:szCs w:val="28"/>
          <w:highlight w:val="none"/>
        </w:rPr>
      </w:pPr>
    </w:p>
    <w:bookmarkEnd w:id="0"/>
    <w:bookmarkEnd w:id="1"/>
    <w:bookmarkEnd w:id="2"/>
    <w:bookmarkEnd w:id="3"/>
    <w:p w14:paraId="20D548DB">
      <w:pPr>
        <w:shd w:val="clear" w:color="auto" w:fill="auto"/>
        <w:spacing w:line="360" w:lineRule="auto"/>
        <w:rPr>
          <w:rFonts w:hint="eastAsia" w:ascii="宋体" w:hAnsi="宋体" w:eastAsia="宋体" w:cs="宋体"/>
          <w:color w:val="auto"/>
          <w:sz w:val="24"/>
          <w:szCs w:val="24"/>
          <w:highlight w:val="none"/>
        </w:rPr>
      </w:pPr>
    </w:p>
    <w:p w14:paraId="742C41AF">
      <w:pPr>
        <w:spacing w:line="360" w:lineRule="auto"/>
        <w:ind w:firstLine="480" w:firstLineChars="200"/>
        <w:rPr>
          <w:rFonts w:hint="eastAsia" w:ascii="宋体" w:hAnsi="宋体" w:eastAsia="宋体" w:cs="宋体"/>
          <w:color w:val="auto"/>
          <w:sz w:val="24"/>
          <w:szCs w:val="24"/>
          <w:highlight w:val="none"/>
        </w:rPr>
      </w:pPr>
    </w:p>
    <w:p w14:paraId="399C0F97"/>
    <w:sectPr>
      <w:headerReference r:id="rId9" w:type="default"/>
      <w:footerReference r:id="rId10" w:type="default"/>
      <w:pgSz w:w="11906" w:h="16838"/>
      <w:pgMar w:top="1440" w:right="1142" w:bottom="1440" w:left="1240" w:header="1134" w:footer="1077" w:gutter="284"/>
      <w:pgNumType w:fmt="decimal"/>
      <w:cols w:space="720"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41410">
    <w:pPr>
      <w:pStyle w:val="8"/>
      <w:pBdr>
        <w:top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108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8E2D4">
    <w:pPr>
      <w:pStyle w:val="8"/>
      <w:pBdr>
        <w:top w:val="none" w:color="auto" w:sz="0" w:space="0"/>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9E55E">
    <w:pPr>
      <w:pStyle w:val="8"/>
      <w:pBdr>
        <w:top w:val="none" w:color="auto" w:sz="0" w:space="0"/>
      </w:pBd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D7B35">
    <w:pPr>
      <w:pStyle w:val="8"/>
      <w:pBdr>
        <w:top w:val="none" w:color="auto" w:sz="0" w:space="0"/>
      </w:pBd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7A0F6">
    <w:pPr>
      <w:pStyle w:val="8"/>
      <w:pBdr>
        <w:top w:val="none" w:color="auto" w:sz="0" w:space="0"/>
      </w:pBdr>
      <w:rPr>
        <w:rFonts w:hint="default" w:ascii="Times New Roman" w:hAnsi="Times New Roman" w:eastAsia="宋体" w:cs="Times New Roman"/>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84191">
    <w:pPr>
      <w:pStyle w:val="9"/>
      <w:pBdr>
        <w:bottom w:val="none" w:color="auto" w:sz="0" w:space="1"/>
      </w:pBdr>
      <w:tabs>
        <w:tab w:val="center" w:pos="0"/>
        <w:tab w:val="right" w:pos="8960"/>
        <w:tab w:val="clear" w:pos="4153"/>
        <w:tab w:val="clear" w:pos="8306"/>
      </w:tabs>
      <w:ind w:right="-1" w:rightChars="0"/>
      <w:jc w:val="both"/>
      <w:rPr>
        <w:rFonts w:hint="default"/>
        <w:lang w:val="en-US"/>
      </w:rPr>
    </w:pP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07FC6">
    <w:pPr>
      <w:pStyle w:val="9"/>
      <w:pBdr>
        <w:bottom w:val="none" w:color="auto" w:sz="0" w:space="1"/>
      </w:pBdr>
      <w:tabs>
        <w:tab w:val="center" w:pos="0"/>
        <w:tab w:val="right" w:pos="8960"/>
        <w:tab w:val="clear" w:pos="4153"/>
        <w:tab w:val="clear" w:pos="8306"/>
      </w:tabs>
      <w:jc w:val="both"/>
      <w:rPr>
        <w:rFonts w:hint="default"/>
        <w:lang w:val="en-US"/>
      </w:rPr>
    </w:pPr>
    <w:r>
      <w:rPr>
        <w:rFonts w:hint="eastAsia"/>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D00C1"/>
    <w:rsid w:val="76435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widowControl/>
      <w:jc w:val="center"/>
      <w:outlineLvl w:val="0"/>
    </w:pPr>
    <w:rPr>
      <w:rFonts w:ascii="黑体"/>
      <w:b/>
      <w:kern w:val="0"/>
      <w:sz w:val="32"/>
    </w:rPr>
  </w:style>
  <w:style w:type="paragraph" w:styleId="4">
    <w:name w:val="heading 4"/>
    <w:basedOn w:val="1"/>
    <w:next w:val="1"/>
    <w:qFormat/>
    <w:uiPriority w:val="0"/>
    <w:pPr>
      <w:keepNext/>
      <w:keepLines/>
      <w:spacing w:before="280" w:after="290" w:line="372" w:lineRule="auto"/>
      <w:outlineLvl w:val="3"/>
    </w:pPr>
    <w:rPr>
      <w:rFonts w:ascii="Arial" w:hAnsi="Arial" w:eastAsia="黑体"/>
      <w:b/>
      <w:bCs/>
      <w:kern w:val="0"/>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cs="Calibri"/>
      <w:b/>
      <w:bCs/>
      <w:caps/>
      <w:sz w:val="20"/>
    </w:rPr>
  </w:style>
  <w:style w:type="paragraph" w:styleId="5">
    <w:name w:val="Body Text"/>
    <w:basedOn w:val="1"/>
    <w:next w:val="4"/>
    <w:unhideWhenUsed/>
    <w:uiPriority w:val="99"/>
    <w:pPr>
      <w:spacing w:after="120"/>
    </w:pPr>
    <w:rPr>
      <w:kern w:val="0"/>
    </w:rPr>
  </w:style>
  <w:style w:type="paragraph" w:styleId="6">
    <w:name w:val="toc 3"/>
    <w:basedOn w:val="1"/>
    <w:next w:val="1"/>
    <w:qFormat/>
    <w:uiPriority w:val="39"/>
    <w:pPr>
      <w:ind w:left="560"/>
      <w:jc w:val="left"/>
    </w:pPr>
    <w:rPr>
      <w:rFonts w:ascii="Calibri" w:hAnsi="Calibri" w:cs="Calibri"/>
      <w:i/>
      <w:iCs/>
      <w:sz w:val="20"/>
    </w:rPr>
  </w:style>
  <w:style w:type="paragraph" w:styleId="7">
    <w:name w:val="Plain Text"/>
    <w:basedOn w:val="1"/>
    <w:uiPriority w:val="0"/>
    <w:rPr>
      <w:rFonts w:ascii="宋体" w:hAnsi="Courier New"/>
      <w:kern w:val="0"/>
      <w:sz w:val="20"/>
    </w:rPr>
  </w:style>
  <w:style w:type="paragraph" w:styleId="8">
    <w:name w:val="footer"/>
    <w:basedOn w:val="1"/>
    <w:qFormat/>
    <w:uiPriority w:val="99"/>
    <w:pPr>
      <w:pBdr>
        <w:top w:val="single" w:color="auto" w:sz="4" w:space="1"/>
      </w:pBdr>
      <w:tabs>
        <w:tab w:val="center" w:pos="4153"/>
        <w:tab w:val="right" w:pos="8306"/>
      </w:tabs>
      <w:snapToGrid w:val="0"/>
      <w:jc w:val="left"/>
    </w:pPr>
    <w:rPr>
      <w:kern w:val="0"/>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character" w:styleId="12">
    <w:name w:val="Hyperlink"/>
    <w:basedOn w:val="11"/>
    <w:uiPriority w:val="99"/>
    <w:rPr>
      <w:color w:val="296FBE"/>
      <w:u w:val="none"/>
    </w:rPr>
  </w:style>
  <w:style w:type="paragraph" w:customStyle="1" w:styleId="13">
    <w:name w:val="正文1"/>
    <w:next w:val="1"/>
    <w:qFormat/>
    <w:uiPriority w:val="0"/>
    <w:pPr>
      <w:widowControl w:val="0"/>
      <w:adjustRightInd w:val="0"/>
      <w:spacing w:line="312" w:lineRule="atLeast"/>
      <w:jc w:val="both"/>
      <w:textAlignment w:val="baseline"/>
    </w:pPr>
    <w:rPr>
      <w:rFonts w:ascii="宋体" w:hAnsi="Calibri" w:eastAsia="宋体" w:cs="Times New Roman"/>
      <w:sz w:val="34"/>
      <w:szCs w:val="22"/>
      <w:lang w:val="en-US" w:eastAsia="zh-CN" w:bidi="ar-SA"/>
    </w:rPr>
  </w:style>
  <w:style w:type="paragraph" w:customStyle="1" w:styleId="14">
    <w:name w:val="_Style 6"/>
    <w:basedOn w:val="3"/>
    <w:next w:val="1"/>
    <w:qFormat/>
    <w:uiPriority w:val="0"/>
    <w:pPr>
      <w:outlineLvl w:val="9"/>
    </w:pPr>
  </w:style>
  <w:style w:type="paragraph" w:customStyle="1" w:styleId="15">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2025-10-16T11:31:52Z</dcterms:created>
  <dc:creator>001</dc:creator>
  <cp:lastModifiedBy>山 夆</cp:lastModifiedBy>
  <dcterms:modified xsi:type="dcterms:W3CDTF">2025-10-16T11:40:25Z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eyJoZGlkIjoiODFkMTFiMzQ1MzI4ZWI1NDQyMTYzOTRjMWM1NDQyMGUiLCJ1c2VySWQiOiIzMTg3MjQxNzIifQ==</vt:lpwstr>
  </property>
  <property fmtid="{D5CDD505-2E9C-101B-9397-08002B2CF9AE}" pid="4" name="ICV">
    <vt:lpwstr>9A98AE1823D04964A8AEEC9C52E59088_13</vt:lpwstr>
  </property>
</Properties>
</file>