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版本号：XHZB-25-06920251016001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红石峡沙地实验林场2025年省级财政衔接资金（欠发达国有林场巩固提升任务）项目管护用房维修改造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XHZB-25-069</w:t>
      </w:r>
      <w:r>
        <w:br/>
      </w:r>
      <w:r>
        <w:br/>
      </w:r>
      <w:r>
        <w:br/>
      </w:r>
    </w:p>
    <w:p>
      <w:pPr>
        <w:pStyle w:val="null3"/>
        <w:jc w:val="center"/>
        <w:outlineLvl w:val="2"/>
      </w:pPr>
      <w:r>
        <w:rPr>
          <w:rFonts w:ascii="仿宋_GB2312" w:hAnsi="仿宋_GB2312" w:cs="仿宋_GB2312" w:eastAsia="仿宋_GB2312"/>
          <w:sz w:val="28"/>
          <w:b/>
        </w:rPr>
        <w:t>陕西省林业科学院</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陕西省林业科学院</w:t>
      </w:r>
      <w:r>
        <w:rPr>
          <w:rFonts w:ascii="仿宋_GB2312" w:hAnsi="仿宋_GB2312" w:cs="仿宋_GB2312" w:eastAsia="仿宋_GB2312"/>
        </w:rPr>
        <w:t>委托，拟对</w:t>
      </w:r>
      <w:r>
        <w:rPr>
          <w:rFonts w:ascii="仿宋_GB2312" w:hAnsi="仿宋_GB2312" w:cs="仿宋_GB2312" w:eastAsia="仿宋_GB2312"/>
        </w:rPr>
        <w:t>红石峡沙地实验林场2025年省级财政衔接资金（欠发达国有林场巩固提升任务）项目管护用房维修改造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XHZB-25-069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红石峡沙地实验林场2025年省级财政衔接资金（欠发达国有林场巩固提升任务）项目管护用房维修改造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房屋墙体补修、结构加固、围墙加固、屋顶维修改造、入户门、窗户、室内墙面粉刷、铺装、水电暖改造等。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采购包1（红石峡沙地实验林场2025年省级财政衔接资金（欠发达国有林场巩固提升任务）项目管护用房维修改造）：属于专门面向中小企业采购。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5、资质证书：供应商具备建设行政主管部门核发的建筑工程施工总承包三级（含三级）以上资质；且具备有效的安全生产许可证。</w:t>
      </w:r>
    </w:p>
    <w:p>
      <w:pPr>
        <w:pStyle w:val="null3"/>
      </w:pPr>
      <w:r>
        <w:rPr>
          <w:rFonts w:ascii="仿宋_GB2312" w:hAnsi="仿宋_GB2312" w:cs="仿宋_GB2312" w:eastAsia="仿宋_GB2312"/>
        </w:rPr>
        <w:t>6、项目经理：供应商拟派项目经理具有建筑工程专业注册建造师二级及以上执业资格，具备有效的安全生产考核合格证，在本单位注册且无在建工程。</w:t>
      </w:r>
    </w:p>
    <w:p>
      <w:pPr>
        <w:pStyle w:val="null3"/>
      </w:pPr>
      <w:r>
        <w:rPr>
          <w:rFonts w:ascii="仿宋_GB2312" w:hAnsi="仿宋_GB2312" w:cs="仿宋_GB2312" w:eastAsia="仿宋_GB2312"/>
        </w:rPr>
        <w:t>7、法定代表人授权委托书：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pPr>
        <w:pStyle w:val="null3"/>
      </w:pPr>
      <w:r>
        <w:rPr>
          <w:rFonts w:ascii="仿宋_GB2312" w:hAnsi="仿宋_GB2312" w:cs="仿宋_GB2312" w:eastAsia="仿宋_GB2312"/>
        </w:rPr>
        <w:t>8、信誉要求：供应商不得为“信用中国”网站（www.creditchina.gov.cn）中列入“失信被执行人”（中国执 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9、非联合体投标声明：提供非联合体投标声明（格式自拟）。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陕西省林业科学院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陕西省林业科学院经办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02989360083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以中标（成交）金额为基数，参照《国家计委关于印发&lt;招标代理服务收费管理暂行办法&gt;的通知》（计价格【2002】1980号）及《国家发改委关于降低部分建设项目收费标准规范收费行为等有关问题的通知》（发改价格[2011]534号）规定按标准收取，采用差额定律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陕西省林业科学院</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陕西省林业科学院</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陕西省林业科学院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地址：陕西省西安市雁塔区西安曲江新区雁塔南路金辉环球中心C座513室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1,160,400.00</w:t>
      </w:r>
    </w:p>
    <w:p>
      <w:pPr>
        <w:pStyle w:val="null3"/>
      </w:pPr>
      <w:r>
        <w:rPr>
          <w:rFonts w:ascii="仿宋_GB2312" w:hAnsi="仿宋_GB2312" w:cs="仿宋_GB2312" w:eastAsia="仿宋_GB2312"/>
        </w:rPr>
        <w:t>采购包最高限价（元）: 1,160,400.00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管护用房维修改造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1,160,400.00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标的名称：管护用房维修改造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1、工程规模及建设内容：房屋墙体补修、结构加固、围墙加固、 屋顶维修改造、入户门、窗户、室内墙 面粉刷、铺装、水电暖改造等。</w:t>
            </w:r>
          </w:p>
          <w:p>
            <w:pPr>
              <w:pStyle w:val="null3"/>
            </w:pPr>
            <w:r>
              <w:rPr>
                <w:rFonts w:ascii="仿宋_GB2312" w:hAnsi="仿宋_GB2312" w:cs="仿宋_GB2312" w:eastAsia="仿宋_GB2312"/>
              </w:rPr>
              <w:t>2、工期：合同签订后三个月完成全部工程任务。</w:t>
            </w:r>
          </w:p>
          <w:p>
            <w:pPr>
              <w:pStyle w:val="null3"/>
            </w:pPr>
            <w:r>
              <w:rPr>
                <w:rFonts w:ascii="仿宋_GB2312" w:hAnsi="仿宋_GB2312" w:cs="仿宋_GB2312" w:eastAsia="仿宋_GB2312"/>
              </w:rPr>
              <w:t>3、质量标准：达到国家现行行业施工验收规范“合格”标准。</w:t>
            </w:r>
          </w:p>
          <w:p>
            <w:pPr>
              <w:pStyle w:val="null3"/>
            </w:pPr>
            <w:r>
              <w:rPr>
                <w:rFonts w:ascii="仿宋_GB2312" w:hAnsi="仿宋_GB2312" w:cs="仿宋_GB2312" w:eastAsia="仿宋_GB2312"/>
              </w:rPr>
              <w:t>4、质保期：一年。</w:t>
            </w:r>
          </w:p>
          <w:p>
            <w:pPr>
              <w:pStyle w:val="null3"/>
            </w:pPr>
            <w:r>
              <w:rPr>
                <w:rFonts w:ascii="仿宋_GB2312" w:hAnsi="仿宋_GB2312" w:cs="仿宋_GB2312" w:eastAsia="仿宋_GB2312"/>
              </w:rPr>
              <w:t>5、工程结算与支付：合同签订后预付合同总金额的30%，工程进度达到50%时支付至合同金额的50%，项目竣工验收合格后支付至工程结算金额的97%，工程结算金额3%的作为质保金，待工程保修期结束，工程无质量问题后支付。</w:t>
            </w:r>
          </w:p>
          <w:p>
            <w:pPr>
              <w:pStyle w:val="null3"/>
            </w:pPr>
            <w:r>
              <w:rPr>
                <w:rFonts w:ascii="仿宋_GB2312" w:hAnsi="仿宋_GB2312" w:cs="仿宋_GB2312" w:eastAsia="仿宋_GB2312"/>
              </w:rPr>
              <w:t>6、工程量清单：另附。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合同签订后三个月完成全部工程任务。</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成交单位递交纸质文件（成交单位在领取中标通知书前将纸质版投标文件正本 1套、副本2 套打印盖章后提交至采购代理机构处，以便采购人进行留存备案等工作，成交单位应保持投标文件纸质版内容与电子版内容完全一致，否则将承担一切法律责任。纸质投标文件一律采用书籍(胶装)方式装订）。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或其投标前三个月内基本存款账户开户银行出具的资信证明及基本存款账户开户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供应商具备建设行政主管部门核发的建筑工程施工总承包三级（含三级）以上资质；且具备有效的安全生产许可证。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供应商拟派项目经理具有建筑工程专业注册建造师二级及以上执业资格，具备有效的安全生产考核合格证，在本单位注册且无在建工程。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 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提供非联合体投标声明（格式自拟）。</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已标价工程量清单 供应商认为组要提供的其他资料 资格证明文件 中小企业声明函 残疾人福利性单位声明函 报价函 技术方案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供应商提供已标价工程量清单</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 资质证书等一致</w:t>
            </w:r>
          </w:p>
        </w:tc>
        <w:tc>
          <w:tcPr>
            <w:tcW w:type="dxa" w:w="1661"/>
          </w:tcPr>
          <w:p>
            <w:pPr>
              <w:pStyle w:val="null3"/>
            </w:pPr>
            <w:r>
              <w:rPr>
                <w:rFonts w:ascii="仿宋_GB2312" w:hAnsi="仿宋_GB2312" w:cs="仿宋_GB2312" w:eastAsia="仿宋_GB2312"/>
              </w:rPr>
              <w:t>响应文件封面 资格证明文件 已标价工程量清单 供应商认为组要提供的其他资料 中小企业声明函 残疾人福利性单位声明函 报价函 技术方案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特性了解透彻，实施方案先进可行，与项目实际结合紧密，对施工具有高度的指导性和可操作性，得10.0分；对项目特性了解较好，实施方案较完整，对施工具有一定的指导性和可操作性，得7.0分；对项目特性基本了解，实施方案基本可行，对施工的指导性和可操作性一般，得5.0分；对项目特性了解较差，实施方案较差，对施工的指导性和可操作性较差，得3.0分；对项目特性了解不清，实施方案简单笼统，对施工没有指导性和可操作性，得1.0分；未提供或内容与本条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质量目标明确，管理体系健全，保证措施全面，得8.0分；质量目标较明确，管理体系较全，保证措施较全面，得6.0分；质量目标基本明确，管理体系及保证措施一般，得4.0分；质量目标较差，管理体系及保证措施较差，得2.0分；质量目标不明确，管理体系不全，保证措施不利，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确保安全文明施工保证体系及保证措施</w:t>
            </w:r>
          </w:p>
        </w:tc>
        <w:tc>
          <w:tcPr>
            <w:tcW w:type="dxa" w:w="2492"/>
          </w:tcPr>
          <w:p>
            <w:pPr>
              <w:pStyle w:val="null3"/>
            </w:pPr>
            <w:r>
              <w:rPr>
                <w:rFonts w:ascii="仿宋_GB2312" w:hAnsi="仿宋_GB2312" w:cs="仿宋_GB2312" w:eastAsia="仿宋_GB2312"/>
              </w:rPr>
              <w:t>安全文明施工保证体系健全，保证措施全面，得8.0分；安全文明施工保证体系较全面，保证措施较全面，得6.0分；安全文明施工保证体系及保证措施一般，得4.0分；安全文明施工保证体系及保证措施较差，得2.0分；安全文明施工保证体系不全，保证措施不利，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确保进度计划保障措施</w:t>
            </w:r>
          </w:p>
        </w:tc>
        <w:tc>
          <w:tcPr>
            <w:tcW w:type="dxa" w:w="2492"/>
          </w:tcPr>
          <w:p>
            <w:pPr>
              <w:pStyle w:val="null3"/>
            </w:pPr>
            <w:r>
              <w:rPr>
                <w:rFonts w:ascii="仿宋_GB2312" w:hAnsi="仿宋_GB2312" w:cs="仿宋_GB2312" w:eastAsia="仿宋_GB2312"/>
              </w:rPr>
              <w:t>进度计划保障措施全面、合理，对工作推进有高度的指导性，得8.0分；进度计划保障措施较全面、较合理，对工作推进有一定的指导性，得6.0分；进度计划保障措施一般，对工作推进的指导性一般，得4.0分；进度计划保障措施较差，对工作推进的指导性较差，得2.0分；进度计划保障措施不利，对工作推进没有指导性，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确保环境保护体系及保证措施</w:t>
            </w:r>
          </w:p>
        </w:tc>
        <w:tc>
          <w:tcPr>
            <w:tcW w:type="dxa" w:w="2492"/>
          </w:tcPr>
          <w:p>
            <w:pPr>
              <w:pStyle w:val="null3"/>
            </w:pPr>
            <w:r>
              <w:rPr>
                <w:rFonts w:ascii="仿宋_GB2312" w:hAnsi="仿宋_GB2312" w:cs="仿宋_GB2312" w:eastAsia="仿宋_GB2312"/>
              </w:rPr>
              <w:t>环境保护体系健全，保证措施全面，得8.0分；环境保护体系较全面，保证措施较全面，得6.0分；环境保护体系及保证措施一般，得4.0分；环境保护体系及保证措施较差，得2.0分；环境保护体系不全，保证措施不利，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人员专业配备齐全、数量合理，得8.0分；人员专业配备较齐全、数量较合理，得6.0分；人员专业配备基本满足、数量基本合理，得4.0分；人员专业配备较差、数量较差，得2.0分； 人员专业配备不全、数量不足，得1.0分；未提供或内容与本条无关得0分。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机具设备类型全面、数量合理，得8.0分；机具设备类型较全面、数量较合理，得6.0分；机具设备类型基本满足、数量基本合理，得4.0分；机具设备类型较差、数量较差，得2.0分；机具设备类型不全、数量不足，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w:t>
            </w:r>
          </w:p>
        </w:tc>
        <w:tc>
          <w:tcPr>
            <w:tcW w:type="dxa" w:w="2492"/>
          </w:tcPr>
          <w:p>
            <w:pPr>
              <w:pStyle w:val="null3"/>
            </w:pPr>
            <w:r>
              <w:rPr>
                <w:rFonts w:ascii="仿宋_GB2312" w:hAnsi="仿宋_GB2312" w:cs="仿宋_GB2312" w:eastAsia="仿宋_GB2312"/>
              </w:rPr>
              <w:t>突发事件应急预案考虑全面，切实可行，操作性强，得8.0分；突发事件应急预案考虑较全面，操作性较强，得6.0分；突发事件应急预案考虑一般，操作性一般，得4.0分；突发事件应急预案考虑较差，操作性较差，得2.0分；突发事件应急预案考虑不全，无操作性，得1.0分；未提供或内容与本条无关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供应商提供2022年1月1日以来类似项目业绩合同（以合同签订时间为准），每份计2分，满分4分。（注：以上证明文件在磋商响应文件中附业绩合同扫描件）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2.满足磋商文件实质性要求且最终报价最低的供应商的价格为磋商基准价，其价格分为满分 30 分。 3.磋商报价得分=（磋商基准价/有效磋商报价）×30。 4.磋商报价不完整的，不得进入磋商基准价的计算，本项得 0 分。 5.本项目专门面向中小企业，不再单独进行价格扣除。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详见附件：供应商认为组要提供的其他资料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