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版本号：ZCBN-省本级-2025-1448920251016001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2025年第二批省级水利发展资金水利科技项目-3</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ZCBN-省本级-2025-14489</w:t>
      </w:r>
      <w:r>
        <w:br/>
      </w:r>
      <w:r>
        <w:br/>
      </w:r>
      <w:r>
        <w:br/>
      </w:r>
    </w:p>
    <w:p>
      <w:pPr>
        <w:pStyle w:val="null3"/>
        <w:jc w:val="center"/>
        <w:outlineLvl w:val="2"/>
      </w:pPr>
      <w:r>
        <w:rPr>
          <w:rFonts w:ascii="仿宋_GB2312" w:hAnsi="仿宋_GB2312" w:cs="仿宋_GB2312" w:eastAsia="仿宋_GB2312"/>
          <w:sz w:val="28"/>
          <w:b/>
        </w:rPr>
        <w:t>陕西省水利厅机关</w:t>
      </w:r>
    </w:p>
    <w:p>
      <w:pPr>
        <w:pStyle w:val="null3"/>
        <w:jc w:val="center"/>
        <w:outlineLvl w:val="2"/>
      </w:pPr>
      <w:r>
        <w:rPr>
          <w:rFonts w:ascii="仿宋_GB2312" w:hAnsi="仿宋_GB2312" w:cs="仿宋_GB2312" w:eastAsia="仿宋_GB2312"/>
          <w:sz w:val="28"/>
          <w:b/>
        </w:rPr>
        <w:t>陕西泰诚邦工程管理有限公司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陕西泰诚邦工程管理有限公司</w:t>
      </w:r>
      <w:r>
        <w:rPr>
          <w:rFonts w:ascii="仿宋_GB2312" w:hAnsi="仿宋_GB2312" w:cs="仿宋_GB2312" w:eastAsia="仿宋_GB2312"/>
        </w:rPr>
        <w:t>（以下简称“代理机构”）受</w:t>
      </w:r>
      <w:r>
        <w:rPr>
          <w:rFonts w:ascii="仿宋_GB2312" w:hAnsi="仿宋_GB2312" w:cs="仿宋_GB2312" w:eastAsia="仿宋_GB2312"/>
        </w:rPr>
        <w:t>陕西省水利厅机关</w:t>
      </w:r>
      <w:r>
        <w:rPr>
          <w:rFonts w:ascii="仿宋_GB2312" w:hAnsi="仿宋_GB2312" w:cs="仿宋_GB2312" w:eastAsia="仿宋_GB2312"/>
        </w:rPr>
        <w:t>委托，拟对</w:t>
      </w:r>
      <w:r>
        <w:rPr>
          <w:rFonts w:ascii="仿宋_GB2312" w:hAnsi="仿宋_GB2312" w:cs="仿宋_GB2312" w:eastAsia="仿宋_GB2312"/>
        </w:rPr>
        <w:t>2025年第二批省级水利发展资金水利科技项目-3</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ZCBN-省本级-2025-14489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2025年第二批省级水利发展资金水利科技项目-3</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陕西省水利技术标准体系表（2025版）修订，采购内容：包括收集调研、分析、总结水利行业所有现行、在编及拟编各类标准，及行业法律法规等文件，编写国家、行业及陕西省水利技术标准调研报告。深入研究优化水利技术标准体系，强化标准的系统性、协同性，提出水利技术标准制修订工作的发展规划。划分水利技术标准“专业门类”和“功能序列”二维框架结构，修编完成标准体系表送审稿、报批稿。2、陕西水库安全监测预警智能集控关键技术研究，采购内容：针对陕西中小型水库监测数据缺失及数据可靠性下降问题，基于新一代人工智能算法和多源数据采集方法，构建融合北斗定位、深度学习等技术的大坝安全监测数据可靠性分析方法。在此基础上，构建大坝安全预警数据有效信息获取模型，建立大坝监测异常值分析理论、高精度预测模型以及动态监控指标拟定方法，为大坝安全风险诊断提供合理准确的数据依据。系统研究陕西水库病害模式的机理及成因，依据大坝风险辨识理论，挖掘不同水库工程的风险源及失事模式集；基于模糊层次分析方法，融合主客观综合赋权理论，分析水库风险因素影响权重，提出服役过程风险因素识别方法，建立大坝风险等级综合评价方法，进而探索水库安全风险分级管控新模式。</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1、营业执照或事业单位法人证书：供应商为合法注册的法人、其他组织，具有独立承担民事责任的能力，提供营业执照或事业单位法人证书复印件，供应商为自然人的提供身份证复印件。</w:t>
      </w:r>
    </w:p>
    <w:p>
      <w:pPr>
        <w:pStyle w:val="null3"/>
      </w:pPr>
      <w:r>
        <w:rPr>
          <w:rFonts w:ascii="仿宋_GB2312" w:hAnsi="仿宋_GB2312" w:cs="仿宋_GB2312" w:eastAsia="仿宋_GB2312"/>
        </w:rPr>
        <w:t>2、没有重大违法记录的书面声明：参加政府采购活动前三年内，在经营活动中没有重大违法记录。</w:t>
      </w:r>
    </w:p>
    <w:p>
      <w:pPr>
        <w:pStyle w:val="null3"/>
      </w:pPr>
      <w:r>
        <w:rPr>
          <w:rFonts w:ascii="仿宋_GB2312" w:hAnsi="仿宋_GB2312" w:cs="仿宋_GB2312" w:eastAsia="仿宋_GB2312"/>
        </w:rPr>
        <w:t>3、依法缴纳社会保险证明资料：提供2025年1月至今任意一个月依法缴纳社会保险的证明（缴费凭证复印件），或者委托他人缴纳的委托代办协议和2025年1月至今任意一个月的缴纳证明（收据复印件），依法不需要缴纳社会保障资金的应提供相关证明文件。</w:t>
      </w:r>
    </w:p>
    <w:p>
      <w:pPr>
        <w:pStyle w:val="null3"/>
      </w:pPr>
      <w:r>
        <w:rPr>
          <w:rFonts w:ascii="仿宋_GB2312" w:hAnsi="仿宋_GB2312" w:cs="仿宋_GB2312" w:eastAsia="仿宋_GB2312"/>
        </w:rPr>
        <w:t>4、信用中国和中国政府采购网查询截图：供应商不得为“信用中国”网站（www.creditchina.gov.cn）中列入失信被执行人和重大税收违法 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1、营业执照或事业单位法人证书：供应商为合法注册的法人、其他组织，具有独立承担民事责任的能力，提供营业执照或事业单位法人证书复印件，供应商为自然人的提供身份证复印件。</w:t>
      </w:r>
    </w:p>
    <w:p>
      <w:pPr>
        <w:pStyle w:val="null3"/>
      </w:pPr>
      <w:r>
        <w:rPr>
          <w:rFonts w:ascii="仿宋_GB2312" w:hAnsi="仿宋_GB2312" w:cs="仿宋_GB2312" w:eastAsia="仿宋_GB2312"/>
        </w:rPr>
        <w:t>2、没有重大违法记录的书面声明：参加政府采购活动前三年内，在经营活动中没有重大违法记录。</w:t>
      </w:r>
    </w:p>
    <w:p>
      <w:pPr>
        <w:pStyle w:val="null3"/>
      </w:pPr>
      <w:r>
        <w:rPr>
          <w:rFonts w:ascii="仿宋_GB2312" w:hAnsi="仿宋_GB2312" w:cs="仿宋_GB2312" w:eastAsia="仿宋_GB2312"/>
        </w:rPr>
        <w:t>3、依法缴纳社会保险证明资料：提供2025年1月至今任意一个月依法缴纳社会保险的证明（缴费凭证复印件），或者委托他人缴纳的委托代办协议和2025年1月至今任意一个月的缴纳证明（收据复印件），依法不需要缴纳社会保障资金的应提供相关证明文件。</w:t>
      </w:r>
    </w:p>
    <w:p>
      <w:pPr>
        <w:pStyle w:val="null3"/>
      </w:pPr>
      <w:r>
        <w:rPr>
          <w:rFonts w:ascii="仿宋_GB2312" w:hAnsi="仿宋_GB2312" w:cs="仿宋_GB2312" w:eastAsia="仿宋_GB2312"/>
        </w:rPr>
        <w:t>4、信用中国和中国政府采购网查询截图：供应商不得为“信用中国”网站（www.creditchina.gov.cn）中列入失信被执行人和重大税收违法 案件当事人名单的供应商，不得为中国政府采购网（www.ccgp.gov.cn）政府采购严重违法失信行为记录名单中被财政部门禁止参加政府采购活动的供应商。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陕西省水利厅机关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尚德路150号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刘波波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17791390877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陕西泰诚邦工程管理有限公司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陕西省榆林市榆阳区文化南路榆溪雅园西门227号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申工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13772065869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p>
          <w:p>
            <w:pPr>
              <w:pStyle w:val="null3"/>
            </w:pPr>
            <w:r>
              <w:rPr>
                <w:rFonts w:ascii="仿宋_GB2312" w:hAnsi="仿宋_GB2312" w:cs="仿宋_GB2312" w:eastAsia="仿宋_GB2312"/>
              </w:rPr>
              <w:t>采购包2：480,000.00元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代理服务费参照国家计委关于印发《招标代理服务收费管理暂行办法》的通知（计价格〔2002〕1980号）、《国家发展和改革委员会办公厅关于招标代理服务收费有关问题的通知》（发改办价格〔2003〕857号）及（发改办价格〔2011〕534号）规定的标准收取。成交供应商在领取成交通知书前，须向代理机构一次性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陕西省水利厅机关</w:t>
      </w:r>
      <w:r>
        <w:rPr>
          <w:rFonts w:ascii="仿宋_GB2312" w:hAnsi="仿宋_GB2312" w:cs="仿宋_GB2312" w:eastAsia="仿宋_GB2312"/>
        </w:rPr>
        <w:t>和</w:t>
      </w:r>
      <w:r>
        <w:rPr>
          <w:rFonts w:ascii="仿宋_GB2312" w:hAnsi="仿宋_GB2312" w:cs="仿宋_GB2312" w:eastAsia="仿宋_GB2312"/>
        </w:rPr>
        <w:t>陕西泰诚邦工程管理有限公司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陕西省水利厅机关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陕西泰诚邦工程管理有限公司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陕西省水利厅机关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陕西泰诚邦工程管理有限公司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符合竞争性磋商文件及采购人要求。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符合竞争性磋商文件及采购人要求。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陕西泰诚邦工程管理有限公司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陕西泰诚邦工程管理有限公司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陕西泰诚邦工程管理有限公司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联系人：申工</w:t>
      </w:r>
    </w:p>
    <w:p>
      <w:pPr>
        <w:pStyle w:val="null3"/>
      </w:pPr>
      <w:r>
        <w:rPr>
          <w:rFonts w:ascii="仿宋_GB2312" w:hAnsi="仿宋_GB2312" w:cs="仿宋_GB2312" w:eastAsia="仿宋_GB2312"/>
        </w:rPr>
        <w:t>联系电话：13772065869</w:t>
      </w:r>
    </w:p>
    <w:p>
      <w:pPr>
        <w:pStyle w:val="null3"/>
      </w:pPr>
      <w:r>
        <w:rPr>
          <w:rFonts w:ascii="仿宋_GB2312" w:hAnsi="仿宋_GB2312" w:cs="仿宋_GB2312" w:eastAsia="仿宋_GB2312"/>
        </w:rPr>
        <w:t>地址：榆林市榆阳区文化南路榆溪雅园西门227号</w:t>
      </w:r>
    </w:p>
    <w:p>
      <w:pPr>
        <w:pStyle w:val="null3"/>
      </w:pPr>
      <w:r>
        <w:rPr>
          <w:rFonts w:ascii="仿宋_GB2312" w:hAnsi="仿宋_GB2312" w:cs="仿宋_GB2312" w:eastAsia="仿宋_GB2312"/>
        </w:rPr>
        <w:t>邮编：719000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陕西省水利技术标准体系表（2025版）修订主要内容：项目内容包括收集调研、分析、总结水利行业所有现行、在编及拟编各类标准，及行业法律法规等文件，编写国家、行业及陕西省水利技术标准调研报告。深入研究优化水利技术标准体系，强化标准的系统性、协同性，提出水利技术标准制修订工作的发展规划。划分水利技术标准“专业门类”和“功能序列”二维框架结构，修编完成标准体系表送审稿、报批稿。2、陕西水库安全监测预警智能集控关键技术研究主要内容：针对陕西中小型水库监测数据缺失及数据可靠性下降问题，基于新一代人工智能算法和多源数据采集方法，构建融合北斗定位、深度学习等技术的大坝安全监测数据可靠性分析方法。在此基础上，构建大坝安全预警数据有效信息获取模型，建立大坝监测异常值分析理论、高精度预测模型以及动态监控指标拟定方法，为大坝安全风险诊断提供合理准确的数据依据。系统研究陕西水库病害模式的机理及成因，依据大坝风险辨识理论，挖掘不同水库工程的风险源及失 事模式集；基于模糊层次分析方法，融合主客观综合赋权理论，分析水库风险因素影响权重，提出服役过程风险因素识别方法，建立大坝风险等级综合评价方法，进而探索水库安全风险分级管控新模式。</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陕西省水利技术标准体系表（2025版）修订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陕西水库安全监测预警智能集控关键技术研究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标的名称：陕西省水利技术标准体系表（2025版）修订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满足国家相关技术规范及有关政策的要求。</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一、采购内容：</w:t>
            </w:r>
          </w:p>
          <w:p>
            <w:pPr>
              <w:pStyle w:val="null3"/>
            </w:pPr>
            <w:r>
              <w:rPr>
                <w:rFonts w:ascii="仿宋_GB2312" w:hAnsi="仿宋_GB2312" w:cs="仿宋_GB2312" w:eastAsia="仿宋_GB2312"/>
              </w:rPr>
              <w:t>收集调研、分析、总结水利行业所有现行、在编及拟编各类标准，编写国家、行业及陕西省水利技术标准调研报告。深入研究优化水利技术标准体系，强化标准的系统性、协同性，提出水利技术标准制修订工作的发展规划；</w:t>
            </w:r>
          </w:p>
          <w:p>
            <w:pPr>
              <w:pStyle w:val="null3"/>
            </w:pPr>
            <w:r>
              <w:rPr>
                <w:rFonts w:ascii="仿宋_GB2312" w:hAnsi="仿宋_GB2312" w:cs="仿宋_GB2312" w:eastAsia="仿宋_GB2312"/>
              </w:rPr>
              <w:t>二、主要功能或目标：</w:t>
            </w:r>
          </w:p>
          <w:p>
            <w:pPr>
              <w:pStyle w:val="null3"/>
            </w:pPr>
            <w:r>
              <w:rPr>
                <w:rFonts w:ascii="仿宋_GB2312" w:hAnsi="仿宋_GB2312" w:cs="仿宋_GB2312" w:eastAsia="仿宋_GB2312"/>
              </w:rPr>
              <w:t>划分水利技术标准“专业门类”和“功能序列”二维框架结构，修编完成标准体系表送审稿、报批稿。</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标的名称：陕西水库安全监测预警智能集控关键技术研究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满足国家相关技术规范及有关政策的要求。</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一、采购内容：</w:t>
            </w:r>
          </w:p>
          <w:p>
            <w:pPr>
              <w:pStyle w:val="null3"/>
            </w:pPr>
            <w:r>
              <w:rPr>
                <w:rFonts w:ascii="仿宋_GB2312" w:hAnsi="仿宋_GB2312" w:cs="仿宋_GB2312" w:eastAsia="仿宋_GB2312"/>
              </w:rPr>
              <w:t>基于新一代人工智能算法和多源数据采集方法，构建融合北斗定位、深度学习等技术的大坝安全监测数据可靠性分析方法。在此基础上，构建大坝安全预警数据有效信息获取模型，建立大坝监测异常值分析理论高精度预测模型；</w:t>
            </w:r>
          </w:p>
          <w:p>
            <w:pPr>
              <w:pStyle w:val="null3"/>
            </w:pPr>
            <w:r>
              <w:rPr>
                <w:rFonts w:ascii="仿宋_GB2312" w:hAnsi="仿宋_GB2312" w:cs="仿宋_GB2312" w:eastAsia="仿宋_GB2312"/>
              </w:rPr>
              <w:t>二、主要功能或目标:</w:t>
            </w:r>
          </w:p>
          <w:p>
            <w:pPr>
              <w:pStyle w:val="null3"/>
            </w:pPr>
            <w:r>
              <w:rPr>
                <w:rFonts w:ascii="仿宋_GB2312" w:hAnsi="仿宋_GB2312" w:cs="仿宋_GB2312" w:eastAsia="仿宋_GB2312"/>
              </w:rPr>
              <w:t>探索全省水库安全风险智能化集中管控与分级协调联动工作机制新模式，研究不同特征大坝安全风险智能识别、风险预警、安全管控技术融合应用新方法，明确研究项目在中小水库安全监测、风险预警、智能管控上的技术创新内容和成果呈现方式，提供研究成果报告、应用实例、论文、软著、专利等。</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自合同签订之日起240日历天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自合同签订之日起240日历天。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1、按照采购人要求的流程进行项目验收。2、验收依据：竞争性磋商文件、竞争性磋商响应文件、合同文本、相应标准等。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1、按照采购人要求的流程进行项目验收。2、验收依据：竞争性磋商文件、竞争性磋商响应文件、合同文本、相应标准等。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合同签订后首次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项目通过初步验收（任务完成80%以上）</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完成最终验收后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合同签订后首次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项目通过初步验收（任务完成80%以上）</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完成最终验收后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1、按《中华人民共和国民法典》中的相关条款执行。2、未按合同要求提供服务或 服务质量不能满足技术要求，采购人有权终止合同，并对供方违约行为进行追究，同时按《中华人民共和国政府采购法》的有 关规定进行处罚。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1、按《中华人民共和国民法典》中的相关条款执行。2、未按合同要求提供服务或 服务质量不能满足技术要求，采购人有权终止合同，并对供方违约行为进行追究，同时按《中华人民共和国政府采购法》的有 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1、陕西省水利技术标准体系表（2025版）修订项目实际服务期限以合同为准。2、陕西水库安全监测预警智能集控关键技术研究项目实际服务期限以合同为准。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提供2022-2024年任意一年的财务报告，2024年1月至今新成立公司须提供银行资信证明或新成立以来的财务报表，至少包括资产负债表、利润表、现金流量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提供2022-2024年任意一年的财务报告，2024年1月至今新成立公司须提供银行资信证明或新成立以来的财务报表，至少包括资产负债表、利润表、现金流量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营业执照或事业单位法人证书</w:t>
            </w:r>
          </w:p>
        </w:tc>
        <w:tc>
          <w:tcPr>
            <w:tcW w:type="dxa" w:w="3322"/>
          </w:tcPr>
          <w:p>
            <w:pPr>
              <w:pStyle w:val="null3"/>
            </w:pPr>
            <w:r>
              <w:rPr>
                <w:rFonts w:ascii="仿宋_GB2312" w:hAnsi="仿宋_GB2312" w:cs="仿宋_GB2312" w:eastAsia="仿宋_GB2312"/>
              </w:rPr>
              <w:t>供应商为合法注册的法人、其他组织，具有独立承担民事责任的能力，提供营业执照或事业单位法人证书复印件，供应商为自然人的提供身份证复印件。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依法缴纳社会保险证明资料</w:t>
            </w:r>
          </w:p>
        </w:tc>
        <w:tc>
          <w:tcPr>
            <w:tcW w:type="dxa" w:w="3322"/>
          </w:tcPr>
          <w:p>
            <w:pPr>
              <w:pStyle w:val="null3"/>
            </w:pPr>
            <w:r>
              <w:rPr>
                <w:rFonts w:ascii="仿宋_GB2312" w:hAnsi="仿宋_GB2312" w:cs="仿宋_GB2312" w:eastAsia="仿宋_GB2312"/>
              </w:rPr>
              <w:t>提供2025年1月至今任意一个月依法缴纳社会保险的证明（缴费凭证复印件），或者委托他人缴纳的委托代办协议和2025年1月至今任意一个月的缴纳证明（收据复印件），依法不需要缴纳社会保障资金的应提供相关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信用中国和中国政府采购网查询截图</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 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营业执照或事业单位法人证书</w:t>
            </w:r>
          </w:p>
        </w:tc>
        <w:tc>
          <w:tcPr>
            <w:tcW w:type="dxa" w:w="3322"/>
          </w:tcPr>
          <w:p>
            <w:pPr>
              <w:pStyle w:val="null3"/>
            </w:pPr>
            <w:r>
              <w:rPr>
                <w:rFonts w:ascii="仿宋_GB2312" w:hAnsi="仿宋_GB2312" w:cs="仿宋_GB2312" w:eastAsia="仿宋_GB2312"/>
              </w:rPr>
              <w:t>供应商为合法注册的法人、其他组织，具有独立承担民事责任的能力，提供营业执照或事业单位法人证书复印件，供应商为自然人的提供身份证复印件。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依法缴纳社会保险证明资料</w:t>
            </w:r>
          </w:p>
        </w:tc>
        <w:tc>
          <w:tcPr>
            <w:tcW w:type="dxa" w:w="3322"/>
          </w:tcPr>
          <w:p>
            <w:pPr>
              <w:pStyle w:val="null3"/>
            </w:pPr>
            <w:r>
              <w:rPr>
                <w:rFonts w:ascii="仿宋_GB2312" w:hAnsi="仿宋_GB2312" w:cs="仿宋_GB2312" w:eastAsia="仿宋_GB2312"/>
              </w:rPr>
              <w:t>提供2025年1月至今任意一个月依法缴纳社会保险的证明（缴费凭证复印件），或者委托他人缴纳的委托代办协议和2025年1月至今任意一个月的缴纳证明（收据复印件），依法不需要缴纳社会保障资金的应提供相关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信用中国和中国政府采购网查询截图</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 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授权委托书.docx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应符合“第七章 响应文件格式”的要求</w:t>
            </w:r>
          </w:p>
        </w:tc>
        <w:tc>
          <w:tcPr>
            <w:tcW w:type="dxa" w:w="1661"/>
          </w:tcPr>
          <w:p>
            <w:pPr>
              <w:pStyle w:val="null3"/>
            </w:pPr>
            <w:r>
              <w:rPr>
                <w:rFonts w:ascii="仿宋_GB2312" w:hAnsi="仿宋_GB2312" w:cs="仿宋_GB2312" w:eastAsia="仿宋_GB2312"/>
              </w:rPr>
              <w:t>服务内容及服务邀请应答表 授权委托书.docx 中小企业声明函 报价表 拒绝商业贿赂承诺书.docx 响应文件封面 供应商认为有必要说明的事宜（如有）.docx 承揽的类似项目情况表.docx 残疾人福利性单位声明函 服务方案 标的清单 供应商应提交的相关资格证明材料（）.docx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唯一报价并未超出采购预算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磋商响应文件内容符合“第三章 磋商项目技术、服务、商务及其他要求”的内容</w:t>
            </w:r>
          </w:p>
        </w:tc>
        <w:tc>
          <w:tcPr>
            <w:tcW w:type="dxa" w:w="1661"/>
          </w:tcPr>
          <w:p>
            <w:pPr>
              <w:pStyle w:val="null3"/>
            </w:pPr>
            <w:r>
              <w:rPr>
                <w:rFonts w:ascii="仿宋_GB2312" w:hAnsi="仿宋_GB2312" w:cs="仿宋_GB2312" w:eastAsia="仿宋_GB2312"/>
              </w:rPr>
              <w:t>服务内容及服务邀请应答表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服务内容及服务邀请应答表 中小企业声明函 授权委托书.docx 报价表 拒绝商业贿赂承诺书.docx 响应文件封面 供应商认为有必要说明的事宜（如有）.docx 承揽的类似项目情况表.docx 残疾人福利性单位声明函 服务方案 标的清单 供应商应提交的相关资格证明材料（）.docx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授权委托书.docx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应符合“第七章 响应文件格式”的要求</w:t>
            </w:r>
          </w:p>
        </w:tc>
        <w:tc>
          <w:tcPr>
            <w:tcW w:type="dxa" w:w="1661"/>
          </w:tcPr>
          <w:p>
            <w:pPr>
              <w:pStyle w:val="null3"/>
            </w:pPr>
            <w:r>
              <w:rPr>
                <w:rFonts w:ascii="仿宋_GB2312" w:hAnsi="仿宋_GB2312" w:cs="仿宋_GB2312" w:eastAsia="仿宋_GB2312"/>
              </w:rPr>
              <w:t>服务内容及服务邀请应答表 中小企业声明函 授权委托书.docx 报价表 拒绝商业贿赂承诺书.docx 响应文件封面 供应商认为有必要说明的事宜（如有）.docx 承揽的类似项目情况表.docx 残疾人福利性单位声明函 服务方案 标的清单 供应商应提交的相关资格证明材料（）.docx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唯一报价并未超出采购预算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磋商响应文件内容符合“第三章 磋商项目技术、服务、商务及其他要求”的内容</w:t>
            </w:r>
          </w:p>
        </w:tc>
        <w:tc>
          <w:tcPr>
            <w:tcW w:type="dxa" w:w="1661"/>
          </w:tcPr>
          <w:p>
            <w:pPr>
              <w:pStyle w:val="null3"/>
            </w:pPr>
            <w:r>
              <w:rPr>
                <w:rFonts w:ascii="仿宋_GB2312" w:hAnsi="仿宋_GB2312" w:cs="仿宋_GB2312" w:eastAsia="仿宋_GB2312"/>
              </w:rPr>
              <w:t>服务内容及服务邀请应答表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服务内容及服务邀请应答表 中小企业声明函 授权委托书.docx 报价表 拒绝商业贿赂承诺书.docx 响应文件封面 供应商认为有必要说明的事宜（如有）.docx 承揽的类似项目情况表.docx 残疾人福利性单位声明函 服务方案 标的清单 供应商应提交的相关资格证明材料（）.docx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招标要求（包括但不限于实施计划、技术方案、清晰性、针对性、所需收集资料及文件的准确性等）进行打分：供应商的实施计划合理、技术方案完善、实施性强，条理清晰、具有针对性且报告编制所需收集资料及文件的准确性。每项完全满足评审标准得3分，有缺陷或者不满足扣1分，缺项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工作计划方案</w:t>
            </w:r>
          </w:p>
        </w:tc>
        <w:tc>
          <w:tcPr>
            <w:tcW w:type="dxa" w:w="2492"/>
          </w:tcPr>
          <w:p>
            <w:pPr>
              <w:pStyle w:val="null3"/>
            </w:pPr>
            <w:r>
              <w:rPr>
                <w:rFonts w:ascii="仿宋_GB2312" w:hAnsi="仿宋_GB2312" w:cs="仿宋_GB2312" w:eastAsia="仿宋_GB2312"/>
              </w:rPr>
              <w:t>根据供应商提供的工作计划方案（包括但不限于工作进度、工作计划、工作时效等）进行打分： 供应商提供的工作进度完善、工作计划明确、工作时效高。每项完全满足评审标准得3分，有缺陷或者不满足扣1分，缺项不得分。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 、难点分析</w:t>
            </w:r>
          </w:p>
        </w:tc>
        <w:tc>
          <w:tcPr>
            <w:tcW w:type="dxa" w:w="2492"/>
          </w:tcPr>
          <w:p>
            <w:pPr>
              <w:pStyle w:val="null3"/>
            </w:pPr>
            <w:r>
              <w:rPr>
                <w:rFonts w:ascii="仿宋_GB2312" w:hAnsi="仿宋_GB2312" w:cs="仿宋_GB2312" w:eastAsia="仿宋_GB2312"/>
              </w:rPr>
              <w:t>根据供应商提供的重点、难点分析（包括但不限于工作重点理解深刻程度，对工作难点把握准确性、全面性等）进行打分：工作重点理解深刻，对工作难点把握准确、全面。每项完全满足评审标准得3分，有缺陷或者不满足扣1分，缺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工作质量保证措施</w:t>
            </w:r>
          </w:p>
        </w:tc>
        <w:tc>
          <w:tcPr>
            <w:tcW w:type="dxa" w:w="2492"/>
          </w:tcPr>
          <w:p>
            <w:pPr>
              <w:pStyle w:val="null3"/>
            </w:pPr>
            <w:r>
              <w:rPr>
                <w:rFonts w:ascii="仿宋_GB2312" w:hAnsi="仿宋_GB2312" w:cs="仿宋_GB2312" w:eastAsia="仿宋_GB2312"/>
              </w:rPr>
              <w:t>根据供应商提供的质量保证措施：质量保证体系健全，质量保证措施具有针对性。每项完全满足评审标准得5分，有缺陷或者不满足扣2.5分，缺项不得分。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服务承诺（包括但不限于全面性、合理性，内容与深度是否达到本项目的要求，后续配合计划的完善度）进行打分：供应商服务承诺全面、合理，内容与深度均达到本项目要求、后续配合计划完善。每项完全满足评审标准得3分，有缺陷或者不满足扣1分，缺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根据供应商对于本项目的人员配备情况进行打分：人员安排合理，职责分工明确。 每项完全满足评审标准得5分，有缺陷或者不满足扣2.5分，缺项不得分。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自2021年10月1日至投标截止日前，具有类似项目业绩，每具有一个计3分，最高12分。 注：应附合同协议书或中标（成交）通知书或立项文件或成果文件（如论文、课题、专利等）复印件。</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承揽的类似项目情况表.docx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1、满足磋商文件要求且最后报价最低的供应商的价格为磋商基准价，其价格分为满分。其他供应商的价格分统一按照下列公式计算： 磋商报价得分=（磋商基准价/最后磋商报价）×价格权值×100 ； 2、价格评审过程中，不得去掉最后报价中的最高报价和最低报价。</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招标要求（包括但不限于实施计划、技术方案、清晰性、针对性、所需收集资料及文件的准确性等）进行打分：供应商的实施计划合理、技术方案完善、实施性强，条理清晰、具有针对性且报告编制所需收集资料及文件的准确性。每项完全满足评审标准得3分，有缺陷或者不满足扣1分，缺项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工作计划方案</w:t>
            </w:r>
          </w:p>
        </w:tc>
        <w:tc>
          <w:tcPr>
            <w:tcW w:type="dxa" w:w="2492"/>
          </w:tcPr>
          <w:p>
            <w:pPr>
              <w:pStyle w:val="null3"/>
            </w:pPr>
            <w:r>
              <w:rPr>
                <w:rFonts w:ascii="仿宋_GB2312" w:hAnsi="仿宋_GB2312" w:cs="仿宋_GB2312" w:eastAsia="仿宋_GB2312"/>
              </w:rPr>
              <w:t>根据供应商提供的工作计划方案（包括但不限于工作进度、工作计划、工作时效等）进行打分： 供应商提供的工作进度完善、工作计划明确、工作时效高。每项完全满足评审标准得3分，有缺陷或者不满足扣1分，缺项不得分。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 、难点分析</w:t>
            </w:r>
          </w:p>
        </w:tc>
        <w:tc>
          <w:tcPr>
            <w:tcW w:type="dxa" w:w="2492"/>
          </w:tcPr>
          <w:p>
            <w:pPr>
              <w:pStyle w:val="null3"/>
            </w:pPr>
            <w:r>
              <w:rPr>
                <w:rFonts w:ascii="仿宋_GB2312" w:hAnsi="仿宋_GB2312" w:cs="仿宋_GB2312" w:eastAsia="仿宋_GB2312"/>
              </w:rPr>
              <w:t>根据供应商提供的重点、难点分析（包括但不限于工作重点理解深刻程度，对工作难点把握准确性、全面性等）进行打分：工作重点理解深刻，对工作难点把握准确、全面。每项完全满足评审标准得3分，有缺陷或者不满足扣1分，缺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工作质量保证措施</w:t>
            </w:r>
          </w:p>
        </w:tc>
        <w:tc>
          <w:tcPr>
            <w:tcW w:type="dxa" w:w="2492"/>
          </w:tcPr>
          <w:p>
            <w:pPr>
              <w:pStyle w:val="null3"/>
            </w:pPr>
            <w:r>
              <w:rPr>
                <w:rFonts w:ascii="仿宋_GB2312" w:hAnsi="仿宋_GB2312" w:cs="仿宋_GB2312" w:eastAsia="仿宋_GB2312"/>
              </w:rPr>
              <w:t>根据供应商提供的质量保证措施：质量保证体系健全，质量保证措施具有针对性。每项完全满足评审标准得5分，有缺陷或者不满足扣2.5分，缺项不得分。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服务承诺（包括但不限于全面性、合理性，内容与深度是否达到本项目的要求，后续配合计划的完善度）进行打分：供应商服务承诺全面、合理，内容与深度均达到本项目要求、后续配合计划完善。每项完全满足评审标准得3分，有缺陷或者不满足扣1分，缺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根据供应商对于本项目的人员配备情况进行打分：人员安排合理，职责分工明确。 每项完全满足评审标准得5分，有缺陷或者不满足扣2.5分，缺项不得分。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自2021年10月1日至投标截止日前，具有类似项目业绩，每具有一个计3分，最高12分。 注：应附合同协议书或中标（成交）通知书或立项文件或成果文件（如论文、课题、专利等）复印件。</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承揽的类似项目情况表.docx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1、满足磋商文件要求且最后报价最低的供应商的价格为磋商基准价，其价格分为满分。其他供应商的价格分统一按照下列公式计算： 磋商报价得分=（磋商基准价/最后磋商报价）×价格权值×100 ； 2、价格评审过程中，不得去掉最后报价中的最高报价和最低报价。</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详见附件：承揽的类似项目情况表.docx</w:t>
      </w:r>
    </w:p>
    <w:p>
      <w:pPr>
        <w:pStyle w:val="null3"/>
        <w:ind w:firstLine="960"/>
      </w:pPr>
      <w:r>
        <w:rPr>
          <w:rFonts w:ascii="仿宋_GB2312" w:hAnsi="仿宋_GB2312" w:cs="仿宋_GB2312" w:eastAsia="仿宋_GB2312"/>
        </w:rPr>
        <w:t>详见附件：供应商认为有必要说明的事宜（如有）.docx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详见附件：承揽的类似项目情况表.docx</w:t>
      </w:r>
    </w:p>
    <w:p>
      <w:pPr>
        <w:pStyle w:val="null3"/>
        <w:ind w:firstLine="960"/>
      </w:pPr>
      <w:r>
        <w:rPr>
          <w:rFonts w:ascii="仿宋_GB2312" w:hAnsi="仿宋_GB2312" w:cs="仿宋_GB2312" w:eastAsia="仿宋_GB2312"/>
        </w:rPr>
        <w:t>详见附件：供应商认为有必要说明的事宜（如有）.docx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详见附件：合同协议书.docx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