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版本号：KY2025-3-25820251022001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光纤拉锥及光纤加工平台采购项目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KY2025-3-258</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光纤拉锥及光纤加工平台采购项目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KY2025-3-258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光纤拉锥及光纤加工平台采购项目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光纤拉锥及光纤加工平台采购，具体要求详见第3章。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7、法定代表人授权书及被授权人身份证：法定代表人授权书及被授权人身份证复印件。（法定代表人直接谈判只须提交其身份证明书）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029-81206622-832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银行账号：86113010750181502000470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代理服务费收费标准：1、中标金额在50万元以内的按照国家计委关于印发《招标代理服务收费管理暂行办法的通知》（计价格[2002]1980号）的收费标准收取； 中标金额50万及以上的采购项目按国家计委关于印发《采购代理服务收费管理暂行办法的通知》（计价格[2002]1980号）规定的标准下浮 20 %收取。中标（成交）单位在领取中标通知书前，须向采购代理机构一次性支付招标代理服务费；代理服务费以转账、电汇或现金等形式交纳。 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陕西开源招标有限公司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根据采购单位通知的时间和地点，安排具有相关经验的工程技术人员参与采购单位验收，根据各项技术指标提供相应测试报告对货物进行验收，供应商配合需求单位进行验收，形成验收报告。</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联系人：谢婷婷、李瑞洁、戈迪</w:t>
      </w:r>
    </w:p>
    <w:p>
      <w:pPr>
        <w:pStyle w:val="null3"/>
      </w:pPr>
      <w:r>
        <w:rPr>
          <w:rFonts w:ascii="仿宋_GB2312" w:hAnsi="仿宋_GB2312" w:cs="仿宋_GB2312" w:eastAsia="仿宋_GB2312"/>
        </w:rPr>
        <w:t>联系电话：029-81206622/81206633-832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光纤拉锥及光纤加工平台采购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1,630,000.00</w:t>
      </w:r>
    </w:p>
    <w:p>
      <w:pPr>
        <w:pStyle w:val="null3"/>
      </w:pPr>
      <w:r>
        <w:rPr>
          <w:rFonts w:ascii="仿宋_GB2312" w:hAnsi="仿宋_GB2312" w:cs="仿宋_GB2312" w:eastAsia="仿宋_GB2312"/>
        </w:rPr>
        <w:t>采购包最高限价（元）: 1,630,000.00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光纤拉锥及光纤加工平台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标的名称：光纤拉锥及光纤加工平台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一、技术要求</w:t>
            </w:r>
          </w:p>
          <w:p>
            <w:pPr>
              <w:pStyle w:val="null3"/>
            </w:pPr>
            <w:r>
              <w:rPr>
                <w:rFonts w:ascii="仿宋_GB2312" w:hAnsi="仿宋_GB2312" w:cs="仿宋_GB2312" w:eastAsia="仿宋_GB2312"/>
              </w:rPr>
              <w:t>(1) 光纤加热和熔接方式：采用双光束CO</w:t>
            </w:r>
            <w:r>
              <w:rPr>
                <w:rFonts w:ascii="仿宋_GB2312" w:hAnsi="仿宋_GB2312" w:cs="仿宋_GB2312" w:eastAsia="仿宋_GB2312"/>
                <w:vertAlign w:val="subscript"/>
              </w:rPr>
              <w:t>2</w:t>
            </w:r>
            <w:r>
              <w:rPr>
                <w:rFonts w:ascii="仿宋_GB2312" w:hAnsi="仿宋_GB2312" w:cs="仿宋_GB2312" w:eastAsia="仿宋_GB2312"/>
              </w:rPr>
              <w:t>激光器作为唯一加热源</w:t>
            </w:r>
          </w:p>
          <w:p>
            <w:pPr>
              <w:pStyle w:val="null3"/>
            </w:pPr>
            <w:r>
              <w:rPr>
                <w:rFonts w:ascii="仿宋_GB2312" w:hAnsi="仿宋_GB2312" w:cs="仿宋_GB2312" w:eastAsia="仿宋_GB2312"/>
              </w:rPr>
              <w:t>(2) CO</w:t>
            </w:r>
            <w:r>
              <w:rPr>
                <w:rFonts w:ascii="仿宋_GB2312" w:hAnsi="仿宋_GB2312" w:cs="仿宋_GB2312" w:eastAsia="仿宋_GB2312"/>
                <w:vertAlign w:val="subscript"/>
              </w:rPr>
              <w:t>2</w:t>
            </w:r>
            <w:r>
              <w:rPr>
                <w:rFonts w:ascii="仿宋_GB2312" w:hAnsi="仿宋_GB2312" w:cs="仿宋_GB2312" w:eastAsia="仿宋_GB2312"/>
              </w:rPr>
              <w:t>激光器功率：</w:t>
            </w:r>
            <w:r>
              <w:rPr>
                <w:rFonts w:ascii="仿宋_GB2312" w:hAnsi="仿宋_GB2312" w:cs="仿宋_GB2312" w:eastAsia="仿宋_GB2312"/>
              </w:rPr>
              <w:t>≥</w:t>
            </w:r>
            <w:r>
              <w:rPr>
                <w:rFonts w:ascii="仿宋_GB2312" w:hAnsi="仿宋_GB2312" w:cs="仿宋_GB2312" w:eastAsia="仿宋_GB2312"/>
              </w:rPr>
              <w:t>30W</w:t>
            </w:r>
          </w:p>
          <w:p>
            <w:pPr>
              <w:pStyle w:val="null3"/>
            </w:pPr>
            <w:r>
              <w:rPr>
                <w:rFonts w:ascii="仿宋_GB2312" w:hAnsi="仿宋_GB2312" w:cs="仿宋_GB2312" w:eastAsia="仿宋_GB2312"/>
              </w:rPr>
              <w:t>(3) 适用光纤类型：单模光纤、多模光纤、保偏光纤、色散位移光纤、非零色散位移光纤、色散补偿光纤、超大芯径光纤、小芯径光纤、特殊组份光纤等</w:t>
            </w:r>
          </w:p>
          <w:p>
            <w:pPr>
              <w:pStyle w:val="null3"/>
            </w:pPr>
            <w:r>
              <w:rPr>
                <w:rFonts w:ascii="仿宋_GB2312" w:hAnsi="仿宋_GB2312" w:cs="仿宋_GB2312" w:eastAsia="仿宋_GB2312"/>
              </w:rPr>
              <w:t>(4) 典型熔接损耗：</w:t>
            </w:r>
            <w:r>
              <w:rPr>
                <w:rFonts w:ascii="仿宋_GB2312" w:hAnsi="仿宋_GB2312" w:cs="仿宋_GB2312" w:eastAsia="仿宋_GB2312"/>
              </w:rPr>
              <w:t>≤</w:t>
            </w:r>
            <w:r>
              <w:rPr>
                <w:rFonts w:ascii="仿宋_GB2312" w:hAnsi="仿宋_GB2312" w:cs="仿宋_GB2312" w:eastAsia="仿宋_GB2312"/>
              </w:rPr>
              <w:t>0.02dB@SMF</w:t>
            </w:r>
          </w:p>
          <w:p>
            <w:pPr>
              <w:pStyle w:val="null3"/>
            </w:pPr>
            <w:r>
              <w:rPr>
                <w:rFonts w:ascii="仿宋_GB2312" w:hAnsi="仿宋_GB2312" w:cs="仿宋_GB2312" w:eastAsia="仿宋_GB2312"/>
              </w:rPr>
              <w:t>(5) 典型熔接强度：</w:t>
            </w:r>
            <w:r>
              <w:rPr>
                <w:rFonts w:ascii="仿宋_GB2312" w:hAnsi="仿宋_GB2312" w:cs="仿宋_GB2312" w:eastAsia="仿宋_GB2312"/>
              </w:rPr>
              <w:t>≥</w:t>
            </w:r>
            <w:r>
              <w:rPr>
                <w:rFonts w:ascii="仿宋_GB2312" w:hAnsi="仿宋_GB2312" w:cs="仿宋_GB2312" w:eastAsia="仿宋_GB2312"/>
              </w:rPr>
              <w:t>250Kpsi@SMF</w:t>
            </w:r>
          </w:p>
          <w:p>
            <w:pPr>
              <w:pStyle w:val="null3"/>
            </w:pPr>
            <w:r>
              <w:rPr>
                <w:rFonts w:ascii="仿宋_GB2312" w:hAnsi="仿宋_GB2312" w:cs="仿宋_GB2312" w:eastAsia="仿宋_GB2312"/>
              </w:rPr>
              <w:t>(6) CCD视场：</w:t>
            </w:r>
            <w:r>
              <w:rPr>
                <w:rFonts w:ascii="仿宋_GB2312" w:hAnsi="仿宋_GB2312" w:cs="仿宋_GB2312" w:eastAsia="仿宋_GB2312"/>
              </w:rPr>
              <w:t>≥</w:t>
            </w:r>
            <w:r>
              <w:rPr>
                <w:rFonts w:ascii="仿宋_GB2312" w:hAnsi="仿宋_GB2312" w:cs="仿宋_GB2312" w:eastAsia="仿宋_GB2312"/>
              </w:rPr>
              <w:t>2.7mm</w:t>
            </w:r>
          </w:p>
          <w:p>
            <w:pPr>
              <w:pStyle w:val="null3"/>
            </w:pPr>
            <w:r>
              <w:rPr>
                <w:rFonts w:ascii="仿宋_GB2312" w:hAnsi="仿宋_GB2312" w:cs="仿宋_GB2312" w:eastAsia="仿宋_GB2312"/>
              </w:rPr>
              <w:t>(7) 光纤观察方式：包层&amp;纤芯PAS侧面观察、WSI热像观察、End-View端面观察</w:t>
            </w:r>
          </w:p>
          <w:p>
            <w:pPr>
              <w:pStyle w:val="null3"/>
            </w:pPr>
            <w:r>
              <w:rPr>
                <w:rFonts w:ascii="仿宋_GB2312" w:hAnsi="仿宋_GB2312" w:cs="仿宋_GB2312" w:eastAsia="仿宋_GB2312"/>
              </w:rPr>
              <w:t>(8) 自动熔接光纤直径范围：80</w:t>
            </w:r>
            <w:r>
              <w:rPr>
                <w:rFonts w:ascii="仿宋_GB2312" w:hAnsi="仿宋_GB2312" w:cs="仿宋_GB2312" w:eastAsia="仿宋_GB2312"/>
              </w:rPr>
              <w:t>~</w:t>
            </w:r>
            <w:r>
              <w:rPr>
                <w:rFonts w:ascii="仿宋_GB2312" w:hAnsi="仿宋_GB2312" w:cs="仿宋_GB2312" w:eastAsia="仿宋_GB2312"/>
              </w:rPr>
              <w:t>23</w:t>
            </w:r>
            <w:r>
              <w:rPr>
                <w:rFonts w:ascii="仿宋_GB2312" w:hAnsi="仿宋_GB2312" w:cs="仿宋_GB2312" w:eastAsia="仿宋_GB2312"/>
              </w:rPr>
              <w:t>00</w:t>
            </w:r>
            <w:r>
              <w:rPr>
                <w:rFonts w:ascii="仿宋_GB2312" w:hAnsi="仿宋_GB2312" w:cs="仿宋_GB2312" w:eastAsia="仿宋_GB2312"/>
              </w:rPr>
              <w:t>μm</w:t>
            </w:r>
            <w:r>
              <w:rPr>
                <w:rFonts w:ascii="仿宋_GB2312" w:hAnsi="仿宋_GB2312" w:cs="仿宋_GB2312" w:eastAsia="仿宋_GB2312"/>
              </w:rPr>
              <w:t>（</w:t>
            </w:r>
            <w:r>
              <w:rPr>
                <w:rFonts w:ascii="仿宋_GB2312" w:hAnsi="仿宋_GB2312" w:cs="仿宋_GB2312" w:eastAsia="仿宋_GB2312"/>
              </w:rPr>
              <w:t>光纤，端帽，玻璃管）</w:t>
            </w:r>
          </w:p>
          <w:p>
            <w:pPr>
              <w:pStyle w:val="null3"/>
            </w:pPr>
            <w:r>
              <w:rPr>
                <w:rFonts w:ascii="仿宋_GB2312" w:hAnsi="仿宋_GB2312" w:cs="仿宋_GB2312" w:eastAsia="仿宋_GB2312"/>
              </w:rPr>
              <w:t>(9) V槽夹持系统：分离式V型槽，可实现80</w:t>
            </w:r>
            <w:r>
              <w:rPr>
                <w:rFonts w:ascii="仿宋_GB2312" w:hAnsi="仿宋_GB2312" w:cs="仿宋_GB2312" w:eastAsia="仿宋_GB2312"/>
              </w:rPr>
              <w:t>~</w:t>
            </w:r>
            <w:r>
              <w:rPr>
                <w:rFonts w:ascii="仿宋_GB2312" w:hAnsi="仿宋_GB2312" w:cs="仿宋_GB2312" w:eastAsia="仿宋_GB2312"/>
              </w:rPr>
              <w:t>2300</w:t>
            </w:r>
            <w:r>
              <w:rPr>
                <w:rFonts w:ascii="仿宋_GB2312" w:hAnsi="仿宋_GB2312" w:cs="仿宋_GB2312" w:eastAsia="仿宋_GB2312"/>
              </w:rPr>
              <w:t>μm</w:t>
            </w:r>
            <w:r>
              <w:rPr>
                <w:rFonts w:ascii="仿宋_GB2312" w:hAnsi="仿宋_GB2312" w:cs="仿宋_GB2312" w:eastAsia="仿宋_GB2312"/>
              </w:rPr>
              <w:t>直径光纤的自动适配夹持</w:t>
            </w:r>
          </w:p>
          <w:p>
            <w:pPr>
              <w:pStyle w:val="null3"/>
            </w:pPr>
            <w:r>
              <w:rPr>
                <w:rFonts w:ascii="仿宋_GB2312" w:hAnsi="仿宋_GB2312" w:cs="仿宋_GB2312" w:eastAsia="仿宋_GB2312"/>
              </w:rPr>
              <w:t>(10) 光纤对轴方式：自动、手动、PC控制</w:t>
            </w:r>
          </w:p>
          <w:p>
            <w:pPr>
              <w:pStyle w:val="null3"/>
            </w:pPr>
            <w:r>
              <w:rPr>
                <w:rFonts w:ascii="仿宋_GB2312" w:hAnsi="仿宋_GB2312" w:cs="仿宋_GB2312" w:eastAsia="仿宋_GB2312"/>
              </w:rPr>
              <w:t>(11) 旋转马达：连续360°旋转，旋转分辨率</w:t>
            </w:r>
            <w:r>
              <w:rPr>
                <w:rFonts w:ascii="仿宋_GB2312" w:hAnsi="仿宋_GB2312" w:cs="仿宋_GB2312" w:eastAsia="仿宋_GB2312"/>
              </w:rPr>
              <w:t>≤</w:t>
            </w:r>
            <w:r>
              <w:rPr>
                <w:rFonts w:ascii="仿宋_GB2312" w:hAnsi="仿宋_GB2312" w:cs="仿宋_GB2312" w:eastAsia="仿宋_GB2312"/>
              </w:rPr>
              <w:t>0.1°</w:t>
            </w:r>
            <w:r>
              <w:rPr>
                <w:rFonts w:ascii="仿宋_GB2312" w:hAnsi="仿宋_GB2312" w:cs="仿宋_GB2312" w:eastAsia="仿宋_GB2312"/>
                <w:b/>
              </w:rPr>
              <w:t>（需提供支撑材料）</w:t>
            </w:r>
          </w:p>
          <w:p>
            <w:pPr>
              <w:pStyle w:val="null3"/>
            </w:pPr>
            <w:r>
              <w:rPr>
                <w:rFonts w:ascii="仿宋_GB2312" w:hAnsi="仿宋_GB2312" w:cs="仿宋_GB2312" w:eastAsia="仿宋_GB2312"/>
              </w:rPr>
              <w:t>(12) X/Y位移分辨率：</w:t>
            </w:r>
            <w:r>
              <w:rPr>
                <w:rFonts w:ascii="仿宋_GB2312" w:hAnsi="仿宋_GB2312" w:cs="仿宋_GB2312" w:eastAsia="仿宋_GB2312"/>
              </w:rPr>
              <w:t>≤</w:t>
            </w:r>
            <w:r>
              <w:rPr>
                <w:rFonts w:ascii="仿宋_GB2312" w:hAnsi="仿宋_GB2312" w:cs="仿宋_GB2312" w:eastAsia="仿宋_GB2312"/>
              </w:rPr>
              <w:t>0.1</w:t>
            </w:r>
            <w:r>
              <w:rPr>
                <w:rFonts w:ascii="仿宋_GB2312" w:hAnsi="仿宋_GB2312" w:cs="仿宋_GB2312" w:eastAsia="仿宋_GB2312"/>
              </w:rPr>
              <w:t>μm</w:t>
            </w:r>
            <w:r>
              <w:rPr>
                <w:rFonts w:ascii="仿宋_GB2312" w:hAnsi="仿宋_GB2312" w:cs="仿宋_GB2312" w:eastAsia="仿宋_GB2312"/>
                <w:b/>
              </w:rPr>
              <w:t>（需提供支撑材料）</w:t>
            </w:r>
          </w:p>
          <w:p>
            <w:pPr>
              <w:pStyle w:val="null3"/>
            </w:pPr>
            <w:r>
              <w:rPr>
                <w:rFonts w:ascii="仿宋_GB2312" w:hAnsi="仿宋_GB2312" w:cs="仿宋_GB2312" w:eastAsia="仿宋_GB2312"/>
              </w:rPr>
              <w:t>(13) Z轴马达最大行程：</w:t>
            </w:r>
            <w:r>
              <w:rPr>
                <w:rFonts w:ascii="仿宋_GB2312" w:hAnsi="仿宋_GB2312" w:cs="仿宋_GB2312" w:eastAsia="仿宋_GB2312"/>
              </w:rPr>
              <w:t>≥</w:t>
            </w:r>
            <w:r>
              <w:rPr>
                <w:rFonts w:ascii="仿宋_GB2312" w:hAnsi="仿宋_GB2312" w:cs="仿宋_GB2312" w:eastAsia="仿宋_GB2312"/>
              </w:rPr>
              <w:t>150mm</w:t>
            </w:r>
          </w:p>
          <w:p>
            <w:pPr>
              <w:pStyle w:val="null3"/>
            </w:pPr>
            <w:r>
              <w:rPr>
                <w:rFonts w:ascii="仿宋_GB2312" w:hAnsi="仿宋_GB2312" w:cs="仿宋_GB2312" w:eastAsia="仿宋_GB2312"/>
              </w:rPr>
              <w:t>(14) 最大拉锥长度：</w:t>
            </w:r>
            <w:r>
              <w:rPr>
                <w:rFonts w:ascii="仿宋_GB2312" w:hAnsi="仿宋_GB2312" w:cs="仿宋_GB2312" w:eastAsia="仿宋_GB2312"/>
              </w:rPr>
              <w:t>≥</w:t>
            </w:r>
            <w:r>
              <w:rPr>
                <w:rFonts w:ascii="仿宋_GB2312" w:hAnsi="仿宋_GB2312" w:cs="仿宋_GB2312" w:eastAsia="仿宋_GB2312"/>
              </w:rPr>
              <w:t>130mm</w:t>
            </w:r>
          </w:p>
          <w:p>
            <w:pPr>
              <w:pStyle w:val="null3"/>
            </w:pPr>
            <w:r>
              <w:rPr>
                <w:rFonts w:ascii="仿宋_GB2312" w:hAnsi="仿宋_GB2312" w:cs="仿宋_GB2312" w:eastAsia="仿宋_GB2312"/>
              </w:rPr>
              <w:t>(15) Z轴移动分辨率：</w:t>
            </w:r>
            <w:r>
              <w:rPr>
                <w:rFonts w:ascii="仿宋_GB2312" w:hAnsi="仿宋_GB2312" w:cs="仿宋_GB2312" w:eastAsia="仿宋_GB2312"/>
              </w:rPr>
              <w:t>≤</w:t>
            </w:r>
            <w:r>
              <w:rPr>
                <w:rFonts w:ascii="仿宋_GB2312" w:hAnsi="仿宋_GB2312" w:cs="仿宋_GB2312" w:eastAsia="仿宋_GB2312"/>
              </w:rPr>
              <w:t>0.1</w:t>
            </w:r>
            <w:r>
              <w:rPr>
                <w:rFonts w:ascii="仿宋_GB2312" w:hAnsi="仿宋_GB2312" w:cs="仿宋_GB2312" w:eastAsia="仿宋_GB2312"/>
              </w:rPr>
              <w:t>3</w:t>
            </w:r>
            <w:r>
              <w:rPr>
                <w:rFonts w:ascii="仿宋_GB2312" w:hAnsi="仿宋_GB2312" w:cs="仿宋_GB2312" w:eastAsia="仿宋_GB2312"/>
              </w:rPr>
              <w:t>μm</w:t>
            </w:r>
          </w:p>
          <w:p>
            <w:pPr>
              <w:pStyle w:val="null3"/>
            </w:pPr>
            <w:r>
              <w:rPr>
                <w:rFonts w:ascii="仿宋_GB2312" w:hAnsi="仿宋_GB2312" w:cs="仿宋_GB2312" w:eastAsia="仿宋_GB2312"/>
              </w:rPr>
              <w:t>(16) 操作控制：手动操作、电脑FPS软件操作（拉锥、旋转烧球、图像编程软件，提供软件功能界面支撑材料）</w:t>
            </w:r>
          </w:p>
          <w:p>
            <w:pPr>
              <w:pStyle w:val="null3"/>
            </w:pPr>
            <w:r>
              <w:rPr>
                <w:rFonts w:ascii="仿宋_GB2312" w:hAnsi="仿宋_GB2312" w:cs="仿宋_GB2312" w:eastAsia="仿宋_GB2312"/>
              </w:rPr>
              <w:t>(17) 最大拉锥比：10:1</w:t>
            </w:r>
          </w:p>
          <w:p>
            <w:pPr>
              <w:pStyle w:val="null3"/>
            </w:pPr>
            <w:r>
              <w:rPr>
                <w:rFonts w:ascii="仿宋_GB2312" w:hAnsi="仿宋_GB2312" w:cs="仿宋_GB2312" w:eastAsia="仿宋_GB2312"/>
              </w:rPr>
              <w:t>(18) 最大拉锥速度：1mm/s</w:t>
            </w:r>
          </w:p>
          <w:p>
            <w:pPr>
              <w:pStyle w:val="null3"/>
            </w:pPr>
            <w:r>
              <w:rPr>
                <w:rFonts w:ascii="仿宋_GB2312" w:hAnsi="仿宋_GB2312" w:cs="仿宋_GB2312" w:eastAsia="仿宋_GB2312"/>
              </w:rPr>
              <w:t>(19) 接口：USB &amp;GPIB</w:t>
            </w:r>
          </w:p>
          <w:p>
            <w:pPr>
              <w:pStyle w:val="null3"/>
            </w:pPr>
            <w:r>
              <w:rPr>
                <w:rFonts w:ascii="仿宋_GB2312" w:hAnsi="仿宋_GB2312" w:cs="仿宋_GB2312" w:eastAsia="仿宋_GB2312"/>
              </w:rPr>
              <w:t>(20) 其他功能</w:t>
            </w:r>
            <w:r>
              <w:rPr>
                <w:rFonts w:ascii="仿宋_GB2312" w:hAnsi="仿宋_GB2312" w:cs="仿宋_GB2312" w:eastAsia="仿宋_GB2312"/>
              </w:rPr>
              <w:t>包含：</w:t>
            </w:r>
            <w:r>
              <w:rPr>
                <w:rFonts w:ascii="仿宋_GB2312" w:hAnsi="仿宋_GB2312" w:cs="仿宋_GB2312" w:eastAsia="仿宋_GB2312"/>
              </w:rPr>
              <w:t>光纤耦合器、光纤合束器、光纤端帽、光纤模场适配器、光纤锥形透镜、光纤光栅等器件的制作</w:t>
            </w:r>
          </w:p>
          <w:p>
            <w:pPr>
              <w:pStyle w:val="null3"/>
              <w:jc w:val="both"/>
            </w:pPr>
            <w:r>
              <w:rPr>
                <w:rFonts w:ascii="仿宋_GB2312" w:hAnsi="仿宋_GB2312" w:cs="仿宋_GB2312" w:eastAsia="仿宋_GB2312"/>
                <w:sz w:val="21"/>
              </w:rPr>
              <w:t>(21)熔接控制：内置固件或者PC电脑</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二、其他要求</w:t>
            </w:r>
          </w:p>
          <w:p>
            <w:pPr>
              <w:pStyle w:val="null3"/>
            </w:pPr>
            <w:r>
              <w:rPr>
                <w:rFonts w:ascii="仿宋_GB2312" w:hAnsi="仿宋_GB2312" w:cs="仿宋_GB2312" w:eastAsia="仿宋_GB2312"/>
              </w:rPr>
              <w:t>1.交货期：</w:t>
            </w:r>
            <w:r>
              <w:rPr>
                <w:rFonts w:ascii="仿宋_GB2312" w:hAnsi="仿宋_GB2312" w:cs="仿宋_GB2312" w:eastAsia="仿宋_GB2312"/>
              </w:rPr>
              <w:t>合同签订后</w:t>
            </w:r>
            <w:r>
              <w:rPr>
                <w:rFonts w:ascii="仿宋_GB2312" w:hAnsi="仿宋_GB2312" w:cs="仿宋_GB2312" w:eastAsia="仿宋_GB2312"/>
              </w:rPr>
              <w:t>45日历日内</w:t>
            </w:r>
            <w:r>
              <w:rPr>
                <w:rFonts w:ascii="仿宋_GB2312" w:hAnsi="仿宋_GB2312" w:cs="仿宋_GB2312" w:eastAsia="仿宋_GB2312"/>
              </w:rPr>
              <w:t>安装调试完成保证可正常使用</w:t>
            </w:r>
            <w:r>
              <w:rPr>
                <w:rFonts w:ascii="仿宋_GB2312" w:hAnsi="仿宋_GB2312" w:cs="仿宋_GB2312" w:eastAsia="仿宋_GB2312"/>
              </w:rPr>
              <w:t>。</w:t>
            </w:r>
          </w:p>
          <w:p>
            <w:pPr>
              <w:pStyle w:val="null3"/>
            </w:pPr>
            <w:r>
              <w:rPr>
                <w:rFonts w:ascii="仿宋_GB2312" w:hAnsi="仿宋_GB2312" w:cs="仿宋_GB2312" w:eastAsia="仿宋_GB2312"/>
              </w:rPr>
              <w:t>2.质保期：验收合格后</w:t>
            </w:r>
            <w:r>
              <w:rPr>
                <w:rFonts w:ascii="仿宋_GB2312" w:hAnsi="仿宋_GB2312" w:cs="仿宋_GB2312" w:eastAsia="仿宋_GB2312"/>
              </w:rPr>
              <w:t>3</w:t>
            </w:r>
            <w:r>
              <w:rPr>
                <w:rFonts w:ascii="仿宋_GB2312" w:hAnsi="仿宋_GB2312" w:cs="仿宋_GB2312" w:eastAsia="仿宋_GB2312"/>
              </w:rPr>
              <w:t>年。</w:t>
            </w:r>
          </w:p>
          <w:p>
            <w:pPr>
              <w:pStyle w:val="null3"/>
            </w:pPr>
            <w:r>
              <w:rPr>
                <w:rFonts w:ascii="仿宋_GB2312" w:hAnsi="仿宋_GB2312" w:cs="仿宋_GB2312" w:eastAsia="仿宋_GB2312"/>
              </w:rPr>
              <w:t>3.售后服务要求：</w:t>
            </w:r>
          </w:p>
          <w:p>
            <w:pPr>
              <w:pStyle w:val="null3"/>
            </w:pPr>
            <w:r>
              <w:rPr>
                <w:rFonts w:ascii="仿宋_GB2312" w:hAnsi="仿宋_GB2312" w:cs="仿宋_GB2312" w:eastAsia="仿宋_GB2312"/>
              </w:rPr>
              <w:t>1）</w:t>
            </w:r>
            <w:r>
              <w:rPr>
                <w:rFonts w:ascii="仿宋_GB2312" w:hAnsi="仿宋_GB2312" w:cs="仿宋_GB2312" w:eastAsia="仿宋_GB2312"/>
              </w:rPr>
              <w:t>设备有维修服务中心，且具备良好的售后服务保障体系</w:t>
            </w:r>
            <w:r>
              <w:rPr>
                <w:rFonts w:ascii="仿宋_GB2312" w:hAnsi="仿宋_GB2312" w:cs="仿宋_GB2312" w:eastAsia="仿宋_GB2312"/>
              </w:rPr>
              <w:t>。</w:t>
            </w:r>
            <w:r>
              <w:rPr>
                <w:rFonts w:ascii="仿宋_GB2312" w:hAnsi="仿宋_GB2312" w:cs="仿宋_GB2312" w:eastAsia="仿宋_GB2312"/>
              </w:rPr>
              <w:t>售后服务响应时间（质保期内）：</w:t>
            </w:r>
            <w:r>
              <w:rPr>
                <w:rFonts w:ascii="仿宋_GB2312" w:hAnsi="仿宋_GB2312" w:cs="仿宋_GB2312" w:eastAsia="仿宋_GB2312"/>
              </w:rPr>
              <w:t>4小时即时响应（包括电话响应）；电话响应无法解决 48小时内到达现场（非工作日72小时、国家法定节假日除外）。修复时间 120 小时内解决；如在 120 小时内无法修复，则提供部件冗余服务或采取应急措施，提供相同产品或不低于故障产品规格档次的备用产品供采购人使用，以确保货物的正常使用。该设备如有耗材，供应商标明后期耗材的销售价格。</w:t>
            </w:r>
          </w:p>
          <w:p>
            <w:pPr>
              <w:pStyle w:val="null3"/>
            </w:pPr>
            <w:r>
              <w:rPr>
                <w:rFonts w:ascii="仿宋_GB2312" w:hAnsi="仿宋_GB2312" w:cs="仿宋_GB2312" w:eastAsia="仿宋_GB2312"/>
              </w:rPr>
              <w:t>2</w:t>
            </w:r>
            <w:r>
              <w:rPr>
                <w:rFonts w:ascii="仿宋_GB2312" w:hAnsi="仿宋_GB2312" w:cs="仿宋_GB2312" w:eastAsia="仿宋_GB2312"/>
              </w:rPr>
              <w:t>）在保修期外</w:t>
            </w:r>
            <w:r>
              <w:rPr>
                <w:rFonts w:ascii="仿宋_GB2312" w:hAnsi="仿宋_GB2312" w:cs="仿宋_GB2312" w:eastAsia="仿宋_GB2312"/>
              </w:rPr>
              <w:t>, 若设备发生故障供应商可提供优惠价格的维修服务。</w:t>
            </w:r>
          </w:p>
          <w:p>
            <w:pPr>
              <w:pStyle w:val="null3"/>
            </w:pPr>
            <w:r>
              <w:rPr>
                <w:rFonts w:ascii="仿宋_GB2312" w:hAnsi="仿宋_GB2312" w:cs="仿宋_GB2312" w:eastAsia="仿宋_GB2312"/>
              </w:rPr>
              <w:t>3）合同价款包含</w:t>
            </w:r>
            <w:r>
              <w:rPr>
                <w:rFonts w:ascii="仿宋_GB2312" w:hAnsi="仿宋_GB2312" w:cs="仿宋_GB2312" w:eastAsia="仿宋_GB2312"/>
              </w:rPr>
              <w:t>一次设备移机服务。</w:t>
            </w:r>
          </w:p>
          <w:p>
            <w:pPr>
              <w:pStyle w:val="null3"/>
            </w:pPr>
            <w:r>
              <w:rPr>
                <w:rFonts w:ascii="仿宋_GB2312" w:hAnsi="仿宋_GB2312" w:cs="仿宋_GB2312" w:eastAsia="仿宋_GB2312"/>
              </w:rPr>
              <w:t>4.安装地点：西安邮</w:t>
            </w:r>
            <w:r>
              <w:rPr>
                <w:rFonts w:ascii="仿宋_GB2312" w:hAnsi="仿宋_GB2312" w:cs="仿宋_GB2312" w:eastAsia="仿宋_GB2312"/>
              </w:rPr>
              <w:t>电大学长安校区</w:t>
            </w:r>
            <w:r>
              <w:rPr>
                <w:rFonts w:ascii="仿宋_GB2312" w:hAnsi="仿宋_GB2312" w:cs="仿宋_GB2312" w:eastAsia="仿宋_GB2312"/>
              </w:rPr>
              <w:t>2号实验楼236实验室</w:t>
            </w:r>
          </w:p>
          <w:p>
            <w:pPr>
              <w:pStyle w:val="null3"/>
            </w:pPr>
            <w:r>
              <w:rPr>
                <w:rFonts w:ascii="仿宋_GB2312" w:hAnsi="仿宋_GB2312" w:cs="仿宋_GB2312" w:eastAsia="仿宋_GB2312"/>
              </w:rPr>
              <w:t>5.</w:t>
            </w:r>
            <w:r>
              <w:rPr>
                <w:rFonts w:ascii="仿宋_GB2312" w:hAnsi="仿宋_GB2312" w:cs="仿宋_GB2312" w:eastAsia="仿宋_GB2312"/>
              </w:rPr>
              <w:t>安装调试、培训要求</w:t>
            </w:r>
            <w:r>
              <w:rPr>
                <w:rFonts w:ascii="仿宋_GB2312" w:hAnsi="仿宋_GB2312" w:cs="仿宋_GB2312" w:eastAsia="仿宋_GB2312"/>
              </w:rPr>
              <w:t>、</w:t>
            </w:r>
            <w:r>
              <w:rPr>
                <w:rFonts w:ascii="仿宋_GB2312" w:hAnsi="仿宋_GB2312" w:cs="仿宋_GB2312" w:eastAsia="仿宋_GB2312"/>
              </w:rPr>
              <w:t>验收要求：</w:t>
            </w:r>
          </w:p>
          <w:p>
            <w:pPr>
              <w:pStyle w:val="null3"/>
            </w:pPr>
            <w:r>
              <w:rPr>
                <w:rFonts w:ascii="仿宋_GB2312" w:hAnsi="仿宋_GB2312" w:cs="仿宋_GB2312" w:eastAsia="仿宋_GB2312"/>
              </w:rPr>
              <w:t>1）设备到达使用现场前，供应商将向采购人或设备最终用户告知设备安装运行的环境要求。</w:t>
            </w:r>
          </w:p>
          <w:p>
            <w:pPr>
              <w:pStyle w:val="null3"/>
            </w:pPr>
            <w:r>
              <w:rPr>
                <w:rFonts w:ascii="仿宋_GB2312" w:hAnsi="仿宋_GB2312" w:cs="仿宋_GB2312" w:eastAsia="仿宋_GB2312"/>
              </w:rPr>
              <w:t>2）设备安装过程中，供应商服务工程师将对设备用户使用人员介绍设备的性能特点，并提供设备的基本操作及维护保养提供免费培训并熟练操作。</w:t>
            </w:r>
          </w:p>
          <w:p>
            <w:pPr>
              <w:pStyle w:val="null3"/>
            </w:pPr>
            <w:r>
              <w:rPr>
                <w:rFonts w:ascii="仿宋_GB2312" w:hAnsi="仿宋_GB2312" w:cs="仿宋_GB2312" w:eastAsia="仿宋_GB2312"/>
              </w:rPr>
              <w:t>3）在正常使用的情况下，对设备提供自验收合格之日起12个月的保修期。</w:t>
            </w:r>
          </w:p>
          <w:p>
            <w:pPr>
              <w:pStyle w:val="null3"/>
            </w:pPr>
            <w:r>
              <w:rPr>
                <w:rFonts w:ascii="仿宋_GB2312" w:hAnsi="仿宋_GB2312" w:cs="仿宋_GB2312" w:eastAsia="仿宋_GB2312"/>
              </w:rPr>
              <w:t>4）在保修期内，当供应商接到最终用户报修后将于4小时内予以响应，包括通过电话或电子邮件进行远程支持。若供应商确认故障无法通过远程支持予以解决，则供应商将在确认后6个工作日内派服务工程师到达最终用户现场查找原因并提供解决方案。若供应商确认设备无法通过远程或现场维修解决的，供应商将予以返厂维修或更换，且供应商将承担设备流转所产生的费用，包括检验费、运费、保险费、仓储费和装卸费。</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验收要求：</w:t>
            </w:r>
            <w:r>
              <w:rPr>
                <w:rFonts w:ascii="仿宋_GB2312" w:hAnsi="仿宋_GB2312" w:cs="仿宋_GB2312" w:eastAsia="仿宋_GB2312"/>
                <w:sz w:val="21"/>
              </w:rPr>
              <w:t>根据采购单位通知的时间和地点，安排具有相关经验的工程技术人员参与采购单位验收，根据各项技术指标提供相应测试报告对货物进行验收，</w:t>
            </w:r>
            <w:r>
              <w:rPr>
                <w:rFonts w:ascii="仿宋_GB2312" w:hAnsi="仿宋_GB2312" w:cs="仿宋_GB2312" w:eastAsia="仿宋_GB2312"/>
                <w:sz w:val="21"/>
              </w:rPr>
              <w:t>供应商</w:t>
            </w:r>
            <w:r>
              <w:rPr>
                <w:rFonts w:ascii="仿宋_GB2312" w:hAnsi="仿宋_GB2312" w:cs="仿宋_GB2312" w:eastAsia="仿宋_GB2312"/>
                <w:sz w:val="21"/>
              </w:rPr>
              <w:t>配合需求单位进行验收，形成验收报告。</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备注：以上参数为实质性要求，供应商任意一项负偏离，</w:t>
            </w:r>
            <w:r>
              <w:rPr>
                <w:rFonts w:ascii="仿宋_GB2312" w:hAnsi="仿宋_GB2312" w:cs="仿宋_GB2312" w:eastAsia="仿宋_GB2312"/>
                <w:sz w:val="20"/>
              </w:rPr>
              <w:t>响应文件</w:t>
            </w:r>
            <w:r>
              <w:rPr>
                <w:rFonts w:ascii="仿宋_GB2312" w:hAnsi="仿宋_GB2312" w:cs="仿宋_GB2312" w:eastAsia="仿宋_GB2312"/>
                <w:sz w:val="20"/>
              </w:rPr>
              <w:t>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合同签订后45日历日内安装调试完成保证可正常使用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根据采购单位通知的时间和地点，安排具有相关经验的工程技术人员参与采购单位验收，根据各项技术指标提供相应测试报告对货物进行验收，供应商配合需求单位进行验收，形成验收报告。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自交货验收完毕之日算起，所有产品质保3年，质保期内：如因产品自身问题，原厂包换包退，提供双重保修保障服务。如因产品非正常使用等情况造成的问题，甲方应支付由此产生的检修及相应维修所发生的材料费。 质保期内，提供免费调试、定期维护和免费升级软件等服务；质保期内发生产品技术升级时，应及时通知采购单位，如有相应需求须提供产品免费升级服务，须免费包调、包改、包测。 质保期满后，须继续提供投标产品的终身技术支持服务。若产生额外费用，经双方协定后，可收取适当费用。具体服务条款及费用收取，由供需双方另行协商。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技术支持及售后要求：（1）提供并且安排工程技术人员免费进行安装调试。安装调试中所产生的一切相关费用由投标供应商承担。（2）硬件安装：提供并按照产品要求完成硬件组装和上电前状态检查，确保产品运行正常、安全。免费提供一次设备移机服务。（3）售后服务要求： 1）设备有维修服务中心，且具备良好的售后服务保障体系。售后服务响应时间（质保期内）：4小时即时响应（包括电话响应）；电话响应无法解决 48小时内到达现场（非工作日72小时、国家法定节假日除外）。修复时间 120 小时内解决；如在 120 小时内无法修复，则提供部件冗余服务或采取应急措施，提供相同产品或不低于故障产品规格档次的备用产品供采购人使用，以确保货物的正常使用。该设备如有耗材，供应商标明后期耗材的销售价格。（4）培训要求，提供不少于3个课时的培训，可线上或线下，培训内容应包括软硬件产品的操作使用，操作流程，使用注意事项。 2、本项目落实的政府采购政策： ①《政府采购促进中小企业发展管理办法》的通知--财库〔2020〕46号；②《财政部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⑩若享受以上政策优惠的企业，提供相应声明函或品目范围内产品有效认证证书。如有最新颁布的政府采购政策，按最新的文件执行。 3、保证金的退还：自成交通知书发出之日起5个工作日内退还未成交供应商的谈判保证金,自采购合同签订之日起5个工作日内退还成交供应商的投标保证金。合同签订后，成交供应商需将合同扫描件发送至指定联系人邮箱，邮箱地址为499094051@qq.com，并以邮件接收时间为退付的基准时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法定代表人授权书及被授权人身份证复印件。（法定代表人直接谈判只须提交其身份证明书）</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交货时间满足采购文件要求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质保期满足采购文件要求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投标有效期满足采购文件要求</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标的数量满足采购要求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响应文件按谈判文件要求的数量、计量单位、报价货币及签字盖章</w:t>
            </w:r>
          </w:p>
        </w:tc>
        <w:tc>
          <w:tcPr>
            <w:tcW w:type="dxa" w:w="3322"/>
          </w:tcPr>
          <w:p>
            <w:pPr>
              <w:pStyle w:val="null3"/>
            </w:pPr>
            <w:r>
              <w:rPr>
                <w:rFonts w:ascii="仿宋_GB2312" w:hAnsi="仿宋_GB2312" w:cs="仿宋_GB2312" w:eastAsia="仿宋_GB2312"/>
              </w:rPr>
              <w:t>响应文件按谈判文件要求的数量、计量单位、报价货币及签字盖章</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响应文件未含有采购人不能接受的附加条件的</w:t>
            </w:r>
          </w:p>
        </w:tc>
        <w:tc>
          <w:tcPr>
            <w:tcW w:type="dxa" w:w="1661"/>
          </w:tcPr>
          <w:p>
            <w:pPr>
              <w:pStyle w:val="null3"/>
            </w:pPr>
            <w:r>
              <w:rPr>
                <w:rFonts w:ascii="仿宋_GB2312" w:hAnsi="仿宋_GB2312" w:cs="仿宋_GB2312" w:eastAsia="仿宋_GB2312"/>
              </w:rPr>
              <w:t>供应商认为有必要说明的问题.docx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符合法律、法规和谈判文件中规定的其他实质性要求</w:t>
            </w:r>
          </w:p>
        </w:tc>
        <w:tc>
          <w:tcPr>
            <w:tcW w:type="dxa" w:w="3322"/>
          </w:tcPr>
          <w:p>
            <w:pPr>
              <w:pStyle w:val="null3"/>
            </w:pPr>
            <w:r>
              <w:rPr>
                <w:rFonts w:ascii="仿宋_GB2312" w:hAnsi="仿宋_GB2312" w:cs="仿宋_GB2312" w:eastAsia="仿宋_GB2312"/>
              </w:rPr>
              <w:t>符合法律、法规和谈判文件中规定的其他实质性要求</w:t>
            </w:r>
          </w:p>
        </w:tc>
        <w:tc>
          <w:tcPr>
            <w:tcW w:type="dxa" w:w="1661"/>
          </w:tcPr>
          <w:p>
            <w:pPr>
              <w:pStyle w:val="null3"/>
            </w:pPr>
            <w:r>
              <w:rPr>
                <w:rFonts w:ascii="仿宋_GB2312" w:hAnsi="仿宋_GB2312" w:cs="仿宋_GB2312" w:eastAsia="仿宋_GB2312"/>
              </w:rPr>
              <w:t>产品技术参数表 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详见附件：供应商认为有必要说明的问题.docx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详见附件：货物类合同模板-国产.docx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