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版本号：GCZB2025-09-204-Q20251016001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莲湖校区低空经济飞行服务培训中心展厅装饰装修项目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GCZB2025-09-204-Q</w:t>
      </w:r>
      <w:r>
        <w:br/>
      </w:r>
      <w:r>
        <w:br/>
      </w:r>
      <w:r>
        <w:br/>
      </w:r>
    </w:p>
    <w:p>
      <w:pPr>
        <w:pStyle w:val="null3"/>
        <w:jc w:val="center"/>
        <w:outlineLvl w:val="2"/>
      </w:pPr>
      <w:r>
        <w:rPr>
          <w:rFonts w:ascii="仿宋_GB2312" w:hAnsi="仿宋_GB2312" w:cs="仿宋_GB2312" w:eastAsia="仿宋_GB2312"/>
          <w:sz w:val="28"/>
          <w:b/>
        </w:rPr>
        <w:t>西安航空学院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西安航空学院</w:t>
      </w:r>
      <w:r>
        <w:rPr>
          <w:rFonts w:ascii="仿宋_GB2312" w:hAnsi="仿宋_GB2312" w:cs="仿宋_GB2312" w:eastAsia="仿宋_GB2312"/>
        </w:rPr>
        <w:t>委托，拟对</w:t>
      </w:r>
      <w:r>
        <w:rPr>
          <w:rFonts w:ascii="仿宋_GB2312" w:hAnsi="仿宋_GB2312" w:cs="仿宋_GB2312" w:eastAsia="仿宋_GB2312"/>
        </w:rPr>
        <w:t>莲湖校区低空经济飞行服务培训中心展厅装饰装修项目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GCZB2025-09-204-Q</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莲湖校区低空经济飞行服务培训中心展厅装饰装修项目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是对低空经济飞行服务培训中心进行改造，包括展厅空间改造（含墙体拆除、水电改造、消防改造及无障碍设施建设）；智能化展陈系统采购（LED屏、交互触控设备、数字沙盘等）；低空经济主题展区建设（历史沿革、科研成果、产业链沙盘）、"西航"系列企业生态群展示模块、飞行安全与适航认证实验室模拟区、宏星遥感图像解译人工智能大模型展示区；多媒体内容制作（3D动画、宣传片）。需基于项目需求、项目预算，完成项目方案设计设计和装饰装修两部分内容。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采购包1（莲湖校区低空经济飞行服务培训中心展厅装饰装修项目）：属于专门面向中小企业采购。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6、具有履行合同所必须的设备和专业技术能力：提供履行合同所必需的设备和专业技术能力的说明及承诺函；</w:t>
      </w:r>
    </w:p>
    <w:p>
      <w:pPr>
        <w:pStyle w:val="null3"/>
      </w:pPr>
      <w:r>
        <w:rPr>
          <w:rFonts w:ascii="仿宋_GB2312" w:hAnsi="仿宋_GB2312" w:cs="仿宋_GB2312" w:eastAsia="仿宋_GB2312"/>
        </w:rPr>
        <w:t>7、法定代表人授权书：供应商应授权合法的人员参加磋商，其中法定代表人直接参加的，须出具法定代表人证明书；被授权代表参加的，须出具法定代表人授权书；</w:t>
      </w:r>
    </w:p>
    <w:p>
      <w:pPr>
        <w:pStyle w:val="null3"/>
      </w:pPr>
      <w:r>
        <w:rPr>
          <w:rFonts w:ascii="仿宋_GB2312" w:hAnsi="仿宋_GB2312" w:cs="仿宋_GB2312" w:eastAsia="仿宋_GB2312"/>
        </w:rPr>
        <w:t>8、装饰装修资质：装饰装修资质：具备建设行政主管部门颁发的建筑装修装饰工程专业承包二级及以上资质；且具备有效的安全生产许可证；拟派项目经理具备建筑工程专业或装饰装修工程专业二级及以上注册建造师证书，并具备有效的安全生产考核合格证（B证），且无在建工程（提供无在建工程承诺书）；</w:t>
      </w:r>
    </w:p>
    <w:p>
      <w:pPr>
        <w:pStyle w:val="null3"/>
      </w:pPr>
      <w:r>
        <w:rPr>
          <w:rFonts w:ascii="仿宋_GB2312" w:hAnsi="仿宋_GB2312" w:cs="仿宋_GB2312" w:eastAsia="仿宋_GB2312"/>
        </w:rPr>
        <w:t>9、设计资质：设计资质：具备工程设计综合甲级资质或建筑行业工程设计乙级以上（含乙级）资质或建筑装饰工程设计专项乙级以上（含乙级）资质；</w:t>
      </w:r>
    </w:p>
    <w:p>
      <w:pPr>
        <w:pStyle w:val="null3"/>
      </w:pPr>
      <w:r>
        <w:rPr>
          <w:rFonts w:ascii="仿宋_GB2312" w:hAnsi="仿宋_GB2312" w:cs="仿宋_GB2312" w:eastAsia="仿宋_GB2312"/>
        </w:rPr>
        <w:t>10、中小企业声明函：本项目为专门面向中小企业，供应商（联合体）应为中小企业或监狱企业或残疾人福利性单位。供应商（联合体）为中型、小型企业的，提供《中小企业声明函》；供应商（联合体）为监狱企业的，应提供监狱企业的证明文件；供应商（联合体）为残疾人福利性单位的，应提供《残疾人福利性单位声明函》；</w:t>
      </w:r>
    </w:p>
    <w:p>
      <w:pPr>
        <w:pStyle w:val="null3"/>
      </w:pPr>
      <w:r>
        <w:rPr>
          <w:rFonts w:ascii="仿宋_GB2312" w:hAnsi="仿宋_GB2312" w:cs="仿宋_GB2312" w:eastAsia="仿宋_GB2312"/>
        </w:rPr>
        <w:t>11、本项目接受联合体响应：接受联合体，属于联合体的提供联合体协议书；</w:t>
      </w:r>
    </w:p>
    <w:p>
      <w:pPr>
        <w:pStyle w:val="null3"/>
      </w:pPr>
      <w:r>
        <w:rPr>
          <w:rFonts w:ascii="仿宋_GB2312" w:hAnsi="仿宋_GB2312" w:cs="仿宋_GB2312" w:eastAsia="仿宋_GB2312"/>
        </w:rPr>
        <w:t>12、直接控股、管理关系：单位负责人为同一人或存在直接控股、管理关系的不同单位，不得同时参加本项目投标活动；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西安航空学院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西安市莲湖区西二环259号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029-81670325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说明：开工前，中标供应商向甲方缴纳合同价款的5％作为履约保证金。项目竣工验收合格后，无质量问题一次性不计息全额返还。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代理服务费收费标准：服务费参照国家发展和改革委员会《招标代理服务收费暂行办法》（计价格[2002]1980号）及发改办价格[2003]857号文件的规定标准收取。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踏勘时间：2025-10-25 10:00:00</w:t>
            </w:r>
          </w:p>
          <w:p>
            <w:pPr>
              <w:pStyle w:val="null3"/>
              <w:ind w:firstLine="975"/>
            </w:pPr>
            <w:r>
              <w:rPr>
                <w:rFonts w:ascii="仿宋_GB2312" w:hAnsi="仿宋_GB2312" w:cs="仿宋_GB2312" w:eastAsia="仿宋_GB2312"/>
              </w:rPr>
              <w:t>踏勘地点：西安航空学院莲湖校区教学主楼</w:t>
            </w:r>
          </w:p>
          <w:p>
            <w:pPr>
              <w:pStyle w:val="null3"/>
              <w:ind w:firstLine="975"/>
            </w:pPr>
            <w:r>
              <w:rPr>
                <w:rFonts w:ascii="仿宋_GB2312" w:hAnsi="仿宋_GB2312" w:cs="仿宋_GB2312" w:eastAsia="仿宋_GB2312"/>
              </w:rPr>
              <w:t>联系人：张蒙</w:t>
            </w:r>
          </w:p>
          <w:p>
            <w:pPr>
              <w:pStyle w:val="null3"/>
              <w:ind w:firstLine="975"/>
            </w:pPr>
            <w:r>
              <w:rPr>
                <w:rFonts w:ascii="仿宋_GB2312" w:hAnsi="仿宋_GB2312" w:cs="仿宋_GB2312" w:eastAsia="仿宋_GB2312"/>
              </w:rPr>
              <w:t>联系电话号码：15229257205</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西安航空学院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西安航空学院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西安航空学院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根据采购文件以及合同约定执行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联系电话：029-88899362（549470923@qq.com）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莲湖校区低空经济飞行服务培训中心展厅装饰装修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标的名称：莲湖校区低空经济飞行服务培训中心展厅装饰装修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一、项目背景</w:t>
            </w:r>
            <w:r>
              <w:rPr>
                <w:rFonts w:ascii="仿宋_GB2312" w:hAnsi="仿宋_GB2312" w:cs="仿宋_GB2312" w:eastAsia="仿宋_GB2312"/>
              </w:rPr>
              <w:t>:</w:t>
            </w:r>
          </w:p>
          <w:p>
            <w:pPr>
              <w:pStyle w:val="null3"/>
            </w:pPr>
            <w:r>
              <w:rPr>
                <w:rFonts w:ascii="仿宋_GB2312" w:hAnsi="仿宋_GB2312" w:cs="仿宋_GB2312" w:eastAsia="仿宋_GB2312"/>
              </w:rPr>
              <w:t>当前，低空经济已成为国家战略性新兴产业的重要增长点，中省层面相继出台多项政策文件推动低空领域创新发展与产业集聚。西安航空学院作为西北航空领域人才培养与科研创新的核心院校，依托</w:t>
            </w:r>
            <w:r>
              <w:rPr>
                <w:rFonts w:ascii="仿宋_GB2312" w:hAnsi="仿宋_GB2312" w:cs="仿宋_GB2312" w:eastAsia="仿宋_GB2312"/>
              </w:rPr>
              <w:t>“一中心（西北低空经济科技创新中心）、二平台（产业孵化平台、数据交易平台）、三基地（人才培养基地/产业集聚基地/场景应用示范基地）”的低空产业战略布局，在低空经济基础研究、技术转化、人才培养等方面积累了丰富成果。为通过时间轴线展示从基础研究到科技产业园落地的全链条创新路径，亟需打造专业化、集约化的示范展示平台，助力陕西省低空经济产业生态构建。</w:t>
            </w:r>
          </w:p>
          <w:p>
            <w:pPr>
              <w:pStyle w:val="null3"/>
            </w:pPr>
            <w:r>
              <w:rPr>
                <w:rFonts w:ascii="仿宋_GB2312" w:hAnsi="仿宋_GB2312" w:cs="仿宋_GB2312" w:eastAsia="仿宋_GB2312"/>
              </w:rPr>
              <w:t>二、建设目标</w:t>
            </w:r>
          </w:p>
          <w:p>
            <w:pPr>
              <w:pStyle w:val="null3"/>
            </w:pPr>
            <w:r>
              <w:rPr>
                <w:rFonts w:ascii="仿宋_GB2312" w:hAnsi="仿宋_GB2312" w:cs="仿宋_GB2312" w:eastAsia="仿宋_GB2312"/>
              </w:rPr>
              <w:t>一是填补西北低空经济综合性展示载体空白的需要。目前区域内缺乏集政策解读、成果展示、产业对接于一体的示范窗口，项目可成为行业交流与政策宣贯的关键节点。二是强化</w:t>
            </w:r>
            <w:r>
              <w:rPr>
                <w:rFonts w:ascii="仿宋_GB2312" w:hAnsi="仿宋_GB2312" w:cs="仿宋_GB2312" w:eastAsia="仿宋_GB2312"/>
              </w:rPr>
              <w:t>“政产学研用金”协同的需要。通过整合学校科研成果、企业案例、政策资源，能有效打通创新链、产业链、资金链，加速技术落地与产业孵化。三是提升西航品牌影响力与教育价值的需要。既能直观呈现学校战略布局与科研实力，又能开发科普教育模块，为低空经济人才培养提供实践场景。</w:t>
            </w:r>
          </w:p>
          <w:p>
            <w:pPr>
              <w:pStyle w:val="null3"/>
            </w:pPr>
            <w:r>
              <w:rPr>
                <w:rFonts w:ascii="仿宋_GB2312" w:hAnsi="仿宋_GB2312" w:cs="仿宋_GB2312" w:eastAsia="仿宋_GB2312"/>
              </w:rPr>
              <w:t>三、项目用途</w:t>
            </w:r>
          </w:p>
          <w:p>
            <w:pPr>
              <w:pStyle w:val="null3"/>
            </w:pPr>
            <w:r>
              <w:rPr>
                <w:rFonts w:ascii="仿宋_GB2312" w:hAnsi="仿宋_GB2312" w:cs="仿宋_GB2312" w:eastAsia="仿宋_GB2312"/>
              </w:rPr>
              <w:t>项目定位为</w:t>
            </w:r>
            <w:r>
              <w:rPr>
                <w:rFonts w:ascii="仿宋_GB2312" w:hAnsi="仿宋_GB2312" w:cs="仿宋_GB2312" w:eastAsia="仿宋_GB2312"/>
              </w:rPr>
              <w:t>“科普教育+成果展示+产业孵化”三位一体的低空经济示范窗口，主要用途包括：历史与政策区陈列国家低空经济政策文件、学校航空学科发展史，强化"政产学研用金"协同背景；西北低空经济科技研究院成果区动态演示宏星遥感图像解译人工智能大模型、数字孪生、空域栅格编码等核心技术，设置适航认证实验室互动装置可视化飞行器测试数据；低空经济科技产业园沙盘按"一核两翼多片区"布局，联动数字屏展示130亩园区规划（含大数据中心、试飞空域等）；“西航”系列企业矩阵墙通过透明屏呈现6+N"西航"系企业技术优势与商业场景，嵌入产业链上下游合作图谱；同时开发"低空经济概论"AR课程模块适配培训需求，设置产业园入驻政策查询终端实时更新空域资源、税收优惠等信息，承接政府考察、行业论坛等活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四</w:t>
            </w:r>
            <w:r>
              <w:rPr>
                <w:rFonts w:ascii="仿宋_GB2312" w:hAnsi="仿宋_GB2312" w:cs="仿宋_GB2312" w:eastAsia="仿宋_GB2312"/>
              </w:rPr>
              <w:t>、项目范围与内容</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主要内容包括：展厅空间改造（含墙体拆除、水电改造、消防改造及无障碍设施建设）；智能化展陈系统采购（</w:t>
            </w:r>
            <w:r>
              <w:rPr>
                <w:rFonts w:ascii="仿宋_GB2312" w:hAnsi="仿宋_GB2312" w:cs="仿宋_GB2312" w:eastAsia="仿宋_GB2312"/>
              </w:rPr>
              <w:t>LED屏、交互触控设备、数字沙盘等）；低空经济主题展区建设（历史沿革、科研成果、产业链沙盘）、"西航"系列企业生态群展示模块、飞行安全与适航认证实验室模拟区、宏星遥感图像解译人工智能大模型展示区；多媒体内容制作（3D动画、宣传片）。需基于项目需求、项目预算，完成项目方案设计设计和装饰装修两部分内容。</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项目范围</w:t>
            </w:r>
            <w:r>
              <w:rPr>
                <w:rFonts w:ascii="仿宋_GB2312" w:hAnsi="仿宋_GB2312" w:cs="仿宋_GB2312" w:eastAsia="仿宋_GB2312"/>
              </w:rPr>
              <w:t>：项目位于西安航空学院莲湖校教学楼一楼，现一楼大厅分为中厅，左侧教学区，右侧教学区三个功能区，长</w:t>
            </w:r>
            <w:r>
              <w:rPr>
                <w:rFonts w:ascii="仿宋_GB2312" w:hAnsi="仿宋_GB2312" w:cs="仿宋_GB2312" w:eastAsia="仿宋_GB2312"/>
              </w:rPr>
              <w:t>77米，宽19.8米，总面积为1524.6平方米。</w:t>
            </w:r>
          </w:p>
          <w:p>
            <w:pPr>
              <w:pStyle w:val="null3"/>
            </w:pPr>
            <w:r>
              <w:rPr>
                <w:rFonts w:ascii="仿宋_GB2312" w:hAnsi="仿宋_GB2312" w:cs="仿宋_GB2312" w:eastAsia="仿宋_GB2312"/>
              </w:rPr>
              <w:t>1.项目改造范围包含左、右两个教学区。</w:t>
            </w:r>
          </w:p>
          <w:p>
            <w:pPr>
              <w:pStyle w:val="null3"/>
            </w:pPr>
            <w:r>
              <w:rPr>
                <w:rFonts w:ascii="仿宋_GB2312" w:hAnsi="仿宋_GB2312" w:cs="仿宋_GB2312" w:eastAsia="仿宋_GB2312"/>
              </w:rPr>
              <w:t>2.左侧教学区共有5个小教室，2个大教室，一个卫生间，总面积548.6平，总高3.5米。吊顶高3.2米。</w:t>
            </w:r>
          </w:p>
          <w:p>
            <w:pPr>
              <w:pStyle w:val="null3"/>
            </w:pPr>
            <w:r>
              <w:rPr>
                <w:rFonts w:ascii="仿宋_GB2312" w:hAnsi="仿宋_GB2312" w:cs="仿宋_GB2312" w:eastAsia="仿宋_GB2312"/>
              </w:rPr>
              <w:t>3.右侧教学区共有4个小教室，2个大教室，一个卫生间，总面积417平，总高3.5米。吊顶高3.2米。</w:t>
            </w:r>
          </w:p>
          <w:p>
            <w:pPr>
              <w:pStyle w:val="null3"/>
            </w:pPr>
            <w:r>
              <w:rPr>
                <w:rFonts w:ascii="仿宋_GB2312" w:hAnsi="仿宋_GB2312" w:cs="仿宋_GB2312" w:eastAsia="仿宋_GB2312"/>
                <w:b/>
              </w:rPr>
              <w:t>平面图展示</w:t>
            </w:r>
          </w:p>
          <w:p>
            <w:pPr>
              <w:pStyle w:val="null3"/>
            </w:pPr>
            <w:r>
              <w:rPr>
                <w:rFonts w:ascii="仿宋_GB2312" w:hAnsi="仿宋_GB2312" w:cs="仿宋_GB2312" w:eastAsia="仿宋_GB2312"/>
                <w:b/>
              </w:rPr>
              <w:t>原始结构图：详见附件</w:t>
            </w:r>
          </w:p>
          <w:p>
            <w:pPr>
              <w:pStyle w:val="null3"/>
            </w:pPr>
            <w:r>
              <w:rPr>
                <w:rFonts w:ascii="仿宋_GB2312" w:hAnsi="仿宋_GB2312" w:cs="仿宋_GB2312" w:eastAsia="仿宋_GB2312"/>
                <w:b/>
              </w:rPr>
              <w:t>现状参考图片：</w:t>
            </w:r>
            <w:r>
              <w:rPr>
                <w:rFonts w:ascii="仿宋_GB2312" w:hAnsi="仿宋_GB2312" w:cs="仿宋_GB2312" w:eastAsia="仿宋_GB2312"/>
                <w:b/>
              </w:rPr>
              <w:t>详见附件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五、项目概况及内容：</w:t>
            </w:r>
          </w:p>
          <w:p>
            <w:pPr>
              <w:pStyle w:val="null3"/>
              <w:jc w:val="both"/>
            </w:pPr>
            <w:r>
              <w:rPr>
                <w:rFonts w:ascii="仿宋_GB2312" w:hAnsi="仿宋_GB2312" w:cs="仿宋_GB2312" w:eastAsia="仿宋_GB2312"/>
                <w:sz w:val="21"/>
              </w:rPr>
              <w:t>本项目是对低空经济飞行服务培训中心进行改造，包括展厅空间改造（含墙体拆除、水电改造、消防改造及无障碍设施建设）；智能化展陈系统采购（</w:t>
            </w:r>
            <w:r>
              <w:rPr>
                <w:rFonts w:ascii="仿宋_GB2312" w:hAnsi="仿宋_GB2312" w:cs="仿宋_GB2312" w:eastAsia="仿宋_GB2312"/>
                <w:sz w:val="21"/>
              </w:rPr>
              <w:t>LED屏、交互触控设备、数字沙盘等）；低空经济主题展区建设（历史沿革、科研成果、产业链沙盘）、"西航"系列企业生态群展示模块、飞行安全与适航认证实验室模拟区、宏星遥感图像解译人工智能大模型展示区；多媒体内容制作（3D动画、宣传片）。需基于项目需求、项目预算，完成项目方案设计设计和装饰装修两部分内容。设计部分包括概念设计、细化设计、施工图设计等。在限定时间（15天）内，细化设计、施工图设计经学校确认后方可进入装饰装修施工阶段。施工内容包括墙体、天花、地面装饰装修、电气工程；灯光、音响、照明系统、通风空调、软装家具、声光电音视频系统软硬件中央控制系统的采购、安装、调试。</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六、项目要求：</w:t>
            </w:r>
          </w:p>
          <w:p>
            <w:pPr>
              <w:pStyle w:val="null3"/>
            </w:pPr>
            <w:r>
              <w:rPr>
                <w:rFonts w:ascii="仿宋_GB2312" w:hAnsi="仿宋_GB2312" w:cs="仿宋_GB2312" w:eastAsia="仿宋_GB2312"/>
              </w:rPr>
              <w:t>（一）设计要求：展厅作为对外展示学校文化、研讨、技术成就、业务发展的重要场所，要求需兼顾清晰视听体验、高效协作功能和规范管理标准，根据空间合理分布展示内容及相关多媒体设备。多媒体配置包含但不限于</w:t>
            </w:r>
            <w:r>
              <w:rPr>
                <w:rFonts w:ascii="仿宋_GB2312" w:hAnsi="仿宋_GB2312" w:cs="仿宋_GB2312" w:eastAsia="仿宋_GB2312"/>
              </w:rPr>
              <w:t>LED大屏，电子屏、触摸屏、轨道屏、投影、音响、沙盘、电脑、VR等相关设备，并支持平板一键操控及远程管理，实现信号源自由分配。设计需充分考虑建成后使用的便捷性、合理性、安全性，以及所用材料的环保性、经济性、声光电系统设备的科学性、性价比、可持续升级性，能够达到一个完整使用体系、实现一键控制、节能环保、性能先进。展厅需融合声光电技术实现沉浸式观展体验，数字沙盘支持"规划模式/运营模式"双视角切换</w:t>
            </w:r>
          </w:p>
          <w:p>
            <w:pPr>
              <w:pStyle w:val="null3"/>
            </w:pPr>
            <w:r>
              <w:rPr>
                <w:rFonts w:ascii="仿宋_GB2312" w:hAnsi="仿宋_GB2312" w:cs="仿宋_GB2312" w:eastAsia="仿宋_GB2312"/>
              </w:rPr>
              <w:t>（二）功能要求：该展厅作为学校对外展示的窗口，需要具备以下功能：</w:t>
            </w:r>
          </w:p>
          <w:p>
            <w:pPr>
              <w:pStyle w:val="null3"/>
            </w:pPr>
            <w:r>
              <w:rPr>
                <w:rFonts w:ascii="仿宋_GB2312" w:hAnsi="仿宋_GB2312" w:cs="仿宋_GB2312" w:eastAsia="仿宋_GB2312"/>
              </w:rPr>
              <w:t>1、学院形象与品牌宣传平台</w:t>
            </w:r>
          </w:p>
          <w:p>
            <w:pPr>
              <w:pStyle w:val="null3"/>
            </w:pPr>
            <w:r>
              <w:rPr>
                <w:rFonts w:ascii="仿宋_GB2312" w:hAnsi="仿宋_GB2312" w:cs="仿宋_GB2312" w:eastAsia="仿宋_GB2312"/>
              </w:rPr>
              <w:t>2、学院与外界互动交流窗口</w:t>
            </w:r>
          </w:p>
          <w:p>
            <w:pPr>
              <w:pStyle w:val="null3"/>
            </w:pPr>
            <w:r>
              <w:rPr>
                <w:rFonts w:ascii="仿宋_GB2312" w:hAnsi="仿宋_GB2312" w:cs="仿宋_GB2312" w:eastAsia="仿宋_GB2312"/>
              </w:rPr>
              <w:t>3、面向政府、社会各阶层领导的成果展示平台</w:t>
            </w:r>
          </w:p>
          <w:p>
            <w:pPr>
              <w:pStyle w:val="null3"/>
            </w:pPr>
            <w:r>
              <w:rPr>
                <w:rFonts w:ascii="仿宋_GB2312" w:hAnsi="仿宋_GB2312" w:cs="仿宋_GB2312" w:eastAsia="仿宋_GB2312"/>
              </w:rPr>
              <w:t>4、面向专家、合作企业的交流平台</w:t>
            </w:r>
          </w:p>
          <w:p>
            <w:pPr>
              <w:pStyle w:val="null3"/>
            </w:pPr>
            <w:r>
              <w:rPr>
                <w:rFonts w:ascii="仿宋_GB2312" w:hAnsi="仿宋_GB2312" w:cs="仿宋_GB2312" w:eastAsia="仿宋_GB2312"/>
              </w:rPr>
              <w:t>5、面向青少年、社会公共科普教育平台</w:t>
            </w:r>
          </w:p>
          <w:p>
            <w:pPr>
              <w:pStyle w:val="null3"/>
            </w:pPr>
            <w:r>
              <w:rPr>
                <w:rFonts w:ascii="仿宋_GB2312" w:hAnsi="仿宋_GB2312" w:cs="仿宋_GB2312" w:eastAsia="仿宋_GB2312"/>
              </w:rPr>
              <w:t>（三）布局要求</w:t>
            </w:r>
          </w:p>
          <w:p>
            <w:pPr>
              <w:pStyle w:val="null3"/>
            </w:pPr>
            <w:r>
              <w:rPr>
                <w:rFonts w:ascii="仿宋_GB2312" w:hAnsi="仿宋_GB2312" w:cs="仿宋_GB2312" w:eastAsia="仿宋_GB2312"/>
              </w:rPr>
              <w:t>整个展厅共分为两大展区。</w:t>
            </w:r>
          </w:p>
          <w:p>
            <w:pPr>
              <w:pStyle w:val="null3"/>
            </w:pPr>
            <w:r>
              <w:rPr>
                <w:rFonts w:ascii="仿宋_GB2312" w:hAnsi="仿宋_GB2312" w:cs="仿宋_GB2312" w:eastAsia="仿宋_GB2312"/>
              </w:rPr>
              <w:t>低空经济飞行服务培训中心展厅，成果演示与接待厅。</w:t>
            </w:r>
          </w:p>
          <w:p>
            <w:pPr>
              <w:pStyle w:val="null3"/>
            </w:pPr>
            <w:r>
              <w:rPr>
                <w:rFonts w:ascii="仿宋_GB2312" w:hAnsi="仿宋_GB2312" w:cs="仿宋_GB2312" w:eastAsia="仿宋_GB2312"/>
              </w:rPr>
              <w:t>1.左侧区域为低空经济飞行服务培训中心展厅，总面积548.6平。</w:t>
            </w:r>
          </w:p>
          <w:p>
            <w:pPr>
              <w:pStyle w:val="null3"/>
            </w:pPr>
            <w:r>
              <w:rPr>
                <w:rFonts w:ascii="仿宋_GB2312" w:hAnsi="仿宋_GB2312" w:cs="仿宋_GB2312" w:eastAsia="仿宋_GB2312"/>
              </w:rPr>
              <w:t>展示内容为政策解读、科普教育、技术展示、产业聚合、创业孵化等。</w:t>
            </w:r>
          </w:p>
          <w:p>
            <w:pPr>
              <w:pStyle w:val="null3"/>
            </w:pPr>
            <w:r>
              <w:rPr>
                <w:rFonts w:ascii="仿宋_GB2312" w:hAnsi="仿宋_GB2312" w:cs="仿宋_GB2312" w:eastAsia="仿宋_GB2312"/>
              </w:rPr>
              <w:t>分为六个板块，前厅，序厅，第一展区，第二展区，第三展区，第四展区。</w:t>
            </w:r>
          </w:p>
          <w:p>
            <w:pPr>
              <w:pStyle w:val="null3"/>
            </w:pPr>
            <w:r>
              <w:rPr>
                <w:rFonts w:ascii="仿宋_GB2312" w:hAnsi="仿宋_GB2312" w:cs="仿宋_GB2312" w:eastAsia="仿宋_GB2312"/>
              </w:rPr>
              <w:t>前厅：学院介绍，序言，导语，艺术装置。</w:t>
            </w:r>
          </w:p>
          <w:p>
            <w:pPr>
              <w:pStyle w:val="null3"/>
            </w:pPr>
            <w:r>
              <w:rPr>
                <w:rFonts w:ascii="仿宋_GB2312" w:hAnsi="仿宋_GB2312" w:cs="仿宋_GB2312" w:eastAsia="仿宋_GB2312"/>
              </w:rPr>
              <w:t>序厅：企业宣传片播放，国家低空经济标语等。</w:t>
            </w:r>
          </w:p>
          <w:p>
            <w:pPr>
              <w:pStyle w:val="null3"/>
            </w:pPr>
            <w:r>
              <w:rPr>
                <w:rFonts w:ascii="仿宋_GB2312" w:hAnsi="仿宋_GB2312" w:cs="仿宋_GB2312" w:eastAsia="仿宋_GB2312"/>
              </w:rPr>
              <w:t>第一展区：从国家层面展示低空经济的发展与前景。</w:t>
            </w:r>
          </w:p>
          <w:p>
            <w:pPr>
              <w:pStyle w:val="null3"/>
            </w:pPr>
            <w:r>
              <w:rPr>
                <w:rFonts w:ascii="仿宋_GB2312" w:hAnsi="仿宋_GB2312" w:cs="仿宋_GB2312" w:eastAsia="仿宋_GB2312"/>
              </w:rPr>
              <w:t>第二展区：结合陕西当地政策解读低空经济的发展与前景。</w:t>
            </w:r>
          </w:p>
          <w:p>
            <w:pPr>
              <w:pStyle w:val="null3"/>
            </w:pPr>
            <w:r>
              <w:rPr>
                <w:rFonts w:ascii="仿宋_GB2312" w:hAnsi="仿宋_GB2312" w:cs="仿宋_GB2312" w:eastAsia="仿宋_GB2312"/>
              </w:rPr>
              <w:t>第三展区：学院学科的建立与发展，特色科研矩阵，产，教学一体化演示，校企合作。</w:t>
            </w:r>
          </w:p>
          <w:p>
            <w:pPr>
              <w:pStyle w:val="null3"/>
            </w:pPr>
            <w:r>
              <w:rPr>
                <w:rFonts w:ascii="仿宋_GB2312" w:hAnsi="仿宋_GB2312" w:cs="仿宋_GB2312" w:eastAsia="仿宋_GB2312"/>
              </w:rPr>
              <w:t>第四展区：园区定位布局，入驻企业介绍，成果推荐。</w:t>
            </w:r>
          </w:p>
          <w:p>
            <w:pPr>
              <w:pStyle w:val="null3"/>
            </w:pPr>
            <w:r>
              <w:rPr>
                <w:rFonts w:ascii="仿宋_GB2312" w:hAnsi="仿宋_GB2312" w:cs="仿宋_GB2312" w:eastAsia="仿宋_GB2312"/>
              </w:rPr>
              <w:t>2.右侧区域为西安航空学院莲湖校区成果演示与接待厅，总面积417平。</w:t>
            </w:r>
          </w:p>
          <w:p>
            <w:pPr>
              <w:pStyle w:val="null3"/>
            </w:pPr>
            <w:r>
              <w:rPr>
                <w:rFonts w:ascii="仿宋_GB2312" w:hAnsi="仿宋_GB2312" w:cs="仿宋_GB2312" w:eastAsia="仿宋_GB2312"/>
              </w:rPr>
              <w:t>展示内容为沉浸式体验、成果展示、科创汇报大厅、服务与应用演示区。</w:t>
            </w:r>
          </w:p>
          <w:p>
            <w:pPr>
              <w:pStyle w:val="null3"/>
            </w:pPr>
            <w:r>
              <w:rPr>
                <w:rFonts w:ascii="仿宋_GB2312" w:hAnsi="仿宋_GB2312" w:cs="仿宋_GB2312" w:eastAsia="仿宋_GB2312"/>
              </w:rPr>
              <w:t>沉浸式体验（互动体验）成果展示：低空飞行考核体验，飞行器场景应用体验，</w:t>
            </w:r>
            <w:r>
              <w:rPr>
                <w:rFonts w:ascii="仿宋_GB2312" w:hAnsi="仿宋_GB2312" w:cs="仿宋_GB2312" w:eastAsia="仿宋_GB2312"/>
              </w:rPr>
              <w:t>VR全景仓等互动设备，配合屏幕进行科普演说，同时展示园区企业科普成果。（视频/成品演示）</w:t>
            </w:r>
          </w:p>
          <w:p>
            <w:pPr>
              <w:pStyle w:val="null3"/>
            </w:pPr>
            <w:r>
              <w:rPr>
                <w:rFonts w:ascii="仿宋_GB2312" w:hAnsi="仿宋_GB2312" w:cs="仿宋_GB2312" w:eastAsia="仿宋_GB2312"/>
              </w:rPr>
              <w:t>科创汇报大厅：投资创业分享，项目会议演示，书屋</w:t>
            </w:r>
          </w:p>
          <w:p>
            <w:pPr>
              <w:pStyle w:val="null3"/>
            </w:pPr>
            <w:r>
              <w:rPr>
                <w:rFonts w:ascii="仿宋_GB2312" w:hAnsi="仿宋_GB2312" w:cs="仿宋_GB2312" w:eastAsia="仿宋_GB2312"/>
              </w:rPr>
              <w:t>服务与应用演示区：沙发区休息区，咖啡定点投放，低空快递投放演示，无人机展架等实景设备或视频内容展示。</w:t>
            </w:r>
          </w:p>
          <w:p>
            <w:pPr>
              <w:pStyle w:val="null3"/>
              <w:jc w:val="both"/>
            </w:pPr>
            <w:r>
              <w:rPr>
                <w:rFonts w:ascii="仿宋_GB2312" w:hAnsi="仿宋_GB2312" w:cs="仿宋_GB2312" w:eastAsia="仿宋_GB2312"/>
                <w:sz w:val="21"/>
              </w:rPr>
              <w:t>两大区域的设计风格需保持一致。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七：质量标准：</w:t>
            </w:r>
          </w:p>
          <w:p>
            <w:pPr>
              <w:pStyle w:val="null3"/>
            </w:pPr>
            <w:r>
              <w:rPr>
                <w:rFonts w:ascii="仿宋_GB2312" w:hAnsi="仿宋_GB2312" w:cs="仿宋_GB2312" w:eastAsia="仿宋_GB2312"/>
              </w:rPr>
              <w:t>《钢结构工程施工质量验收规范》</w:t>
            </w:r>
          </w:p>
          <w:p>
            <w:pPr>
              <w:pStyle w:val="null3"/>
            </w:pPr>
            <w:r>
              <w:rPr>
                <w:rFonts w:ascii="仿宋_GB2312" w:hAnsi="仿宋_GB2312" w:cs="仿宋_GB2312" w:eastAsia="仿宋_GB2312"/>
              </w:rPr>
              <w:t>《建筑工程项目管理规范》（</w:t>
            </w:r>
            <w:r>
              <w:rPr>
                <w:rFonts w:ascii="仿宋_GB2312" w:hAnsi="仿宋_GB2312" w:cs="仿宋_GB2312" w:eastAsia="仿宋_GB2312"/>
              </w:rPr>
              <w:t>GB/T50326-2001）；</w:t>
            </w:r>
          </w:p>
          <w:p>
            <w:pPr>
              <w:pStyle w:val="null3"/>
            </w:pPr>
            <w:r>
              <w:rPr>
                <w:rFonts w:ascii="仿宋_GB2312" w:hAnsi="仿宋_GB2312" w:cs="仿宋_GB2312" w:eastAsia="仿宋_GB2312"/>
              </w:rPr>
              <w:t>《城市建设档案著录规范》（</w:t>
            </w:r>
            <w:r>
              <w:rPr>
                <w:rFonts w:ascii="仿宋_GB2312" w:hAnsi="仿宋_GB2312" w:cs="仿宋_GB2312" w:eastAsia="仿宋_GB2312"/>
              </w:rPr>
              <w:t>GB/T50323-2001）；</w:t>
            </w:r>
          </w:p>
          <w:p>
            <w:pPr>
              <w:pStyle w:val="null3"/>
            </w:pPr>
            <w:r>
              <w:rPr>
                <w:rFonts w:ascii="仿宋_GB2312" w:hAnsi="仿宋_GB2312" w:cs="仿宋_GB2312" w:eastAsia="仿宋_GB2312"/>
              </w:rPr>
              <w:t>《建筑工程文件归档管理规范》（</w:t>
            </w:r>
            <w:r>
              <w:rPr>
                <w:rFonts w:ascii="仿宋_GB2312" w:hAnsi="仿宋_GB2312" w:cs="仿宋_GB2312" w:eastAsia="仿宋_GB2312"/>
              </w:rPr>
              <w:t>GB/T50328-2001）；</w:t>
            </w:r>
          </w:p>
          <w:p>
            <w:pPr>
              <w:pStyle w:val="null3"/>
            </w:pPr>
            <w:r>
              <w:rPr>
                <w:rFonts w:ascii="仿宋_GB2312" w:hAnsi="仿宋_GB2312" w:cs="仿宋_GB2312" w:eastAsia="仿宋_GB2312"/>
              </w:rPr>
              <w:t>《建筑工程施工质量验收统一标准》（</w:t>
            </w:r>
            <w:r>
              <w:rPr>
                <w:rFonts w:ascii="仿宋_GB2312" w:hAnsi="仿宋_GB2312" w:cs="仿宋_GB2312" w:eastAsia="仿宋_GB2312"/>
              </w:rPr>
              <w:t>GB 50300-2013）；</w:t>
            </w:r>
          </w:p>
          <w:p>
            <w:pPr>
              <w:pStyle w:val="null3"/>
            </w:pPr>
            <w:r>
              <w:rPr>
                <w:rFonts w:ascii="仿宋_GB2312" w:hAnsi="仿宋_GB2312" w:cs="仿宋_GB2312" w:eastAsia="仿宋_GB2312"/>
              </w:rPr>
              <w:t>《建筑地面工程施工质量验收规范》（</w:t>
            </w:r>
            <w:r>
              <w:rPr>
                <w:rFonts w:ascii="仿宋_GB2312" w:hAnsi="仿宋_GB2312" w:cs="仿宋_GB2312" w:eastAsia="仿宋_GB2312"/>
              </w:rPr>
              <w:t>GB 50209-2010）；</w:t>
            </w:r>
          </w:p>
          <w:p>
            <w:pPr>
              <w:pStyle w:val="null3"/>
            </w:pPr>
            <w:r>
              <w:rPr>
                <w:rFonts w:ascii="仿宋_GB2312" w:hAnsi="仿宋_GB2312" w:cs="仿宋_GB2312" w:eastAsia="仿宋_GB2312"/>
              </w:rPr>
              <w:t>《建筑装饰装修工程质量验收规范》（</w:t>
            </w:r>
            <w:r>
              <w:rPr>
                <w:rFonts w:ascii="仿宋_GB2312" w:hAnsi="仿宋_GB2312" w:cs="仿宋_GB2312" w:eastAsia="仿宋_GB2312"/>
              </w:rPr>
              <w:t>GB 50210-2001）；</w:t>
            </w:r>
          </w:p>
          <w:p>
            <w:pPr>
              <w:pStyle w:val="null3"/>
            </w:pPr>
            <w:r>
              <w:rPr>
                <w:rFonts w:ascii="仿宋_GB2312" w:hAnsi="仿宋_GB2312" w:cs="仿宋_GB2312" w:eastAsia="仿宋_GB2312"/>
              </w:rPr>
              <w:t>《建筑电气工程施工质量验收规范》（</w:t>
            </w:r>
            <w:r>
              <w:rPr>
                <w:rFonts w:ascii="仿宋_GB2312" w:hAnsi="仿宋_GB2312" w:cs="仿宋_GB2312" w:eastAsia="仿宋_GB2312"/>
              </w:rPr>
              <w:t>GB 50303-2011）；</w:t>
            </w:r>
          </w:p>
          <w:p>
            <w:pPr>
              <w:pStyle w:val="null3"/>
            </w:pPr>
            <w:r>
              <w:rPr>
                <w:rFonts w:ascii="仿宋_GB2312" w:hAnsi="仿宋_GB2312" w:cs="仿宋_GB2312" w:eastAsia="仿宋_GB2312"/>
              </w:rPr>
              <w:t>《工程测量规范》（</w:t>
            </w:r>
            <w:r>
              <w:rPr>
                <w:rFonts w:ascii="仿宋_GB2312" w:hAnsi="仿宋_GB2312" w:cs="仿宋_GB2312" w:eastAsia="仿宋_GB2312"/>
              </w:rPr>
              <w:t>GB 50026-2008）；</w:t>
            </w:r>
          </w:p>
          <w:p>
            <w:pPr>
              <w:pStyle w:val="null3"/>
            </w:pPr>
            <w:r>
              <w:rPr>
                <w:rFonts w:ascii="仿宋_GB2312" w:hAnsi="仿宋_GB2312" w:cs="仿宋_GB2312" w:eastAsia="仿宋_GB2312"/>
              </w:rPr>
              <w:t>《建筑施工安全检查标准》（</w:t>
            </w:r>
            <w:r>
              <w:rPr>
                <w:rFonts w:ascii="仿宋_GB2312" w:hAnsi="仿宋_GB2312" w:cs="仿宋_GB2312" w:eastAsia="仿宋_GB2312"/>
              </w:rPr>
              <w:t>JGJ 59-2011）；</w:t>
            </w:r>
          </w:p>
          <w:p>
            <w:pPr>
              <w:pStyle w:val="null3"/>
            </w:pPr>
            <w:r>
              <w:rPr>
                <w:rFonts w:ascii="仿宋_GB2312" w:hAnsi="仿宋_GB2312" w:cs="仿宋_GB2312" w:eastAsia="仿宋_GB2312"/>
              </w:rPr>
              <w:t>《建筑机械使用安全技术规程》（</w:t>
            </w:r>
            <w:r>
              <w:rPr>
                <w:rFonts w:ascii="仿宋_GB2312" w:hAnsi="仿宋_GB2312" w:cs="仿宋_GB2312" w:eastAsia="仿宋_GB2312"/>
              </w:rPr>
              <w:t>JGJ 33-2012）；</w:t>
            </w:r>
          </w:p>
          <w:p>
            <w:pPr>
              <w:pStyle w:val="null3"/>
            </w:pPr>
            <w:r>
              <w:rPr>
                <w:rFonts w:ascii="仿宋_GB2312" w:hAnsi="仿宋_GB2312" w:cs="仿宋_GB2312" w:eastAsia="仿宋_GB2312"/>
              </w:rPr>
              <w:t>《施工现场临时用电安全技术规范》（</w:t>
            </w:r>
            <w:r>
              <w:rPr>
                <w:rFonts w:ascii="仿宋_GB2312" w:hAnsi="仿宋_GB2312" w:cs="仿宋_GB2312" w:eastAsia="仿宋_GB2312"/>
              </w:rPr>
              <w:t>JGJ 46-2012）；</w:t>
            </w:r>
          </w:p>
          <w:p>
            <w:pPr>
              <w:pStyle w:val="null3"/>
            </w:pPr>
            <w:r>
              <w:rPr>
                <w:rFonts w:ascii="仿宋_GB2312" w:hAnsi="仿宋_GB2312" w:cs="仿宋_GB2312" w:eastAsia="仿宋_GB2312"/>
              </w:rPr>
              <w:t>《建设工程施工现场供用电安全规范》（</w:t>
            </w:r>
            <w:r>
              <w:rPr>
                <w:rFonts w:ascii="仿宋_GB2312" w:hAnsi="仿宋_GB2312" w:cs="仿宋_GB2312" w:eastAsia="仿宋_GB2312"/>
              </w:rPr>
              <w:t>GB 50104-2014）；</w:t>
            </w:r>
          </w:p>
          <w:p>
            <w:pPr>
              <w:pStyle w:val="null3"/>
            </w:pPr>
            <w:r>
              <w:rPr>
                <w:rFonts w:ascii="仿宋_GB2312" w:hAnsi="仿宋_GB2312" w:cs="仿宋_GB2312" w:eastAsia="仿宋_GB2312"/>
              </w:rPr>
              <w:t>《涂覆涂料前钢材表面处理表面清洁度的目视评定》（</w:t>
            </w:r>
            <w:r>
              <w:rPr>
                <w:rFonts w:ascii="仿宋_GB2312" w:hAnsi="仿宋_GB2312" w:cs="仿宋_GB2312" w:eastAsia="仿宋_GB2312"/>
              </w:rPr>
              <w:t>GB/T8923.1-2011）</w:t>
            </w:r>
          </w:p>
          <w:p>
            <w:pPr>
              <w:pStyle w:val="null3"/>
            </w:pPr>
            <w:r>
              <w:rPr>
                <w:rFonts w:ascii="仿宋_GB2312" w:hAnsi="仿宋_GB2312" w:cs="仿宋_GB2312" w:eastAsia="仿宋_GB2312"/>
              </w:rPr>
              <w:t>《建筑设计防火规范》（</w:t>
            </w:r>
            <w:r>
              <w:rPr>
                <w:rFonts w:ascii="仿宋_GB2312" w:hAnsi="仿宋_GB2312" w:cs="仿宋_GB2312" w:eastAsia="仿宋_GB2312"/>
              </w:rPr>
              <w:t>GB50016-2014）</w:t>
            </w:r>
          </w:p>
          <w:p>
            <w:pPr>
              <w:pStyle w:val="null3"/>
            </w:pPr>
            <w:r>
              <w:rPr>
                <w:rFonts w:ascii="仿宋_GB2312" w:hAnsi="仿宋_GB2312" w:cs="仿宋_GB2312" w:eastAsia="仿宋_GB2312"/>
              </w:rPr>
              <w:t>《民用建筑工程室内环境污染控制规范》（</w:t>
            </w:r>
            <w:r>
              <w:rPr>
                <w:rFonts w:ascii="仿宋_GB2312" w:hAnsi="仿宋_GB2312" w:cs="仿宋_GB2312" w:eastAsia="仿宋_GB2312"/>
              </w:rPr>
              <w:t>GB50325-2010）（2013年版）</w:t>
            </w:r>
          </w:p>
          <w:p>
            <w:pPr>
              <w:pStyle w:val="null3"/>
            </w:pPr>
            <w:r>
              <w:rPr>
                <w:rFonts w:ascii="仿宋_GB2312" w:hAnsi="仿宋_GB2312" w:cs="仿宋_GB2312" w:eastAsia="仿宋_GB2312"/>
              </w:rPr>
              <w:t>《安全防范工程技术规范》（</w:t>
            </w:r>
            <w:r>
              <w:rPr>
                <w:rFonts w:ascii="仿宋_GB2312" w:hAnsi="仿宋_GB2312" w:cs="仿宋_GB2312" w:eastAsia="仿宋_GB2312"/>
              </w:rPr>
              <w:t>GB50348-2004）</w:t>
            </w:r>
          </w:p>
          <w:p>
            <w:pPr>
              <w:pStyle w:val="null3"/>
            </w:pPr>
            <w:r>
              <w:rPr>
                <w:rFonts w:ascii="仿宋_GB2312" w:hAnsi="仿宋_GB2312" w:cs="仿宋_GB2312" w:eastAsia="仿宋_GB2312"/>
              </w:rPr>
              <w:t>《建筑结构可靠度设计统一标准》</w:t>
            </w:r>
            <w:r>
              <w:rPr>
                <w:rFonts w:ascii="仿宋_GB2312" w:hAnsi="仿宋_GB2312" w:cs="仿宋_GB2312" w:eastAsia="仿宋_GB2312"/>
              </w:rPr>
              <w:t>(GB50068-2001)</w:t>
            </w:r>
          </w:p>
          <w:p>
            <w:pPr>
              <w:pStyle w:val="null3"/>
            </w:pPr>
            <w:r>
              <w:rPr>
                <w:rFonts w:ascii="仿宋_GB2312" w:hAnsi="仿宋_GB2312" w:cs="仿宋_GB2312" w:eastAsia="仿宋_GB2312"/>
              </w:rPr>
              <w:t>《建筑抗震设防分类标准》</w:t>
            </w:r>
            <w:r>
              <w:rPr>
                <w:rFonts w:ascii="仿宋_GB2312" w:hAnsi="仿宋_GB2312" w:cs="仿宋_GB2312" w:eastAsia="仿宋_GB2312"/>
              </w:rPr>
              <w:t>( GB50223-2008 )</w:t>
            </w:r>
          </w:p>
          <w:p>
            <w:pPr>
              <w:pStyle w:val="null3"/>
            </w:pPr>
            <w:r>
              <w:rPr>
                <w:rFonts w:ascii="仿宋_GB2312" w:hAnsi="仿宋_GB2312" w:cs="仿宋_GB2312" w:eastAsia="仿宋_GB2312"/>
              </w:rPr>
              <w:t>《建筑地基基础设计规范》</w:t>
            </w:r>
            <w:r>
              <w:rPr>
                <w:rFonts w:ascii="仿宋_GB2312" w:hAnsi="仿宋_GB2312" w:cs="仿宋_GB2312" w:eastAsia="仿宋_GB2312"/>
              </w:rPr>
              <w:t>(GB50007-2011)</w:t>
            </w:r>
          </w:p>
          <w:p>
            <w:pPr>
              <w:pStyle w:val="null3"/>
            </w:pPr>
            <w:r>
              <w:rPr>
                <w:rFonts w:ascii="仿宋_GB2312" w:hAnsi="仿宋_GB2312" w:cs="仿宋_GB2312" w:eastAsia="仿宋_GB2312"/>
              </w:rPr>
              <w:t>《建筑抗震设计规范》</w:t>
            </w:r>
            <w:r>
              <w:rPr>
                <w:rFonts w:ascii="仿宋_GB2312" w:hAnsi="仿宋_GB2312" w:cs="仿宋_GB2312" w:eastAsia="仿宋_GB2312"/>
              </w:rPr>
              <w:t>( GB50011-2010) ( 2016年版)</w:t>
            </w:r>
          </w:p>
          <w:p>
            <w:pPr>
              <w:pStyle w:val="null3"/>
            </w:pPr>
            <w:r>
              <w:rPr>
                <w:rFonts w:ascii="仿宋_GB2312" w:hAnsi="仿宋_GB2312" w:cs="仿宋_GB2312" w:eastAsia="仿宋_GB2312"/>
              </w:rPr>
              <w:t>《混凝土结构设计规范》</w:t>
            </w:r>
            <w:r>
              <w:rPr>
                <w:rFonts w:ascii="仿宋_GB2312" w:hAnsi="仿宋_GB2312" w:cs="仿宋_GB2312" w:eastAsia="仿宋_GB2312"/>
              </w:rPr>
              <w:t>(GB50010-2010) ( 2015年版)</w:t>
            </w:r>
          </w:p>
          <w:p>
            <w:pPr>
              <w:pStyle w:val="null3"/>
            </w:pPr>
            <w:r>
              <w:rPr>
                <w:rFonts w:ascii="仿宋_GB2312" w:hAnsi="仿宋_GB2312" w:cs="仿宋_GB2312" w:eastAsia="仿宋_GB2312"/>
              </w:rPr>
              <w:t>《建筑结构荷载规范》</w:t>
            </w:r>
            <w:r>
              <w:rPr>
                <w:rFonts w:ascii="仿宋_GB2312" w:hAnsi="仿宋_GB2312" w:cs="仿宋_GB2312" w:eastAsia="仿宋_GB2312"/>
              </w:rPr>
              <w:t>( GB50009-2012)</w:t>
            </w:r>
          </w:p>
          <w:p>
            <w:pPr>
              <w:pStyle w:val="null3"/>
              <w:jc w:val="both"/>
            </w:pPr>
            <w:r>
              <w:rPr>
                <w:rFonts w:ascii="仿宋_GB2312" w:hAnsi="仿宋_GB2312" w:cs="仿宋_GB2312" w:eastAsia="仿宋_GB2312"/>
                <w:sz w:val="21"/>
              </w:rPr>
              <w:t>《建筑电气工程施工质量验收规范》（</w:t>
            </w:r>
            <w:r>
              <w:rPr>
                <w:rFonts w:ascii="仿宋_GB2312" w:hAnsi="仿宋_GB2312" w:cs="仿宋_GB2312" w:eastAsia="仿宋_GB2312"/>
                <w:sz w:val="21"/>
              </w:rPr>
              <w:t>GB50210—2011）；</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八</w:t>
            </w:r>
            <w:r>
              <w:rPr>
                <w:rFonts w:ascii="仿宋_GB2312" w:hAnsi="仿宋_GB2312" w:cs="仿宋_GB2312" w:eastAsia="仿宋_GB2312"/>
              </w:rPr>
              <w:t>、其他要求：</w:t>
            </w:r>
          </w:p>
          <w:p>
            <w:pPr>
              <w:pStyle w:val="null3"/>
            </w:pPr>
            <w:r>
              <w:rPr>
                <w:rFonts w:ascii="仿宋_GB2312" w:hAnsi="仿宋_GB2312" w:cs="仿宋_GB2312" w:eastAsia="仿宋_GB2312"/>
              </w:rPr>
              <w:t>1.本次装修装饰项目需严格遵循国家相关法规与安全规定，选用环保材料，注重细节品质，确保施工周期、预算控制以及最终效果符合甲方预期，充分展现西安航空学院的综合实力与远大愿景。</w:t>
            </w:r>
          </w:p>
          <w:p>
            <w:pPr>
              <w:pStyle w:val="null3"/>
            </w:pPr>
            <w:r>
              <w:rPr>
                <w:rFonts w:ascii="仿宋_GB2312" w:hAnsi="仿宋_GB2312" w:cs="仿宋_GB2312" w:eastAsia="仿宋_GB2312"/>
              </w:rPr>
              <w:t>2.实施中采用模块化设计展墙结构，预留API接口对接产业园大数据中心，兼容学校现有智慧校园系统支持一卡通身份认证与参观数据统计，保障后期每季度内容更新与功能拓展。</w:t>
            </w:r>
          </w:p>
          <w:p>
            <w:pPr>
              <w:pStyle w:val="null3"/>
            </w:pPr>
            <w:r>
              <w:rPr>
                <w:rFonts w:ascii="仿宋_GB2312" w:hAnsi="仿宋_GB2312" w:cs="仿宋_GB2312" w:eastAsia="仿宋_GB2312"/>
              </w:rPr>
              <w:t>3.质量要求满足现行相关的建筑工程建设标准、设计规范（规程）、地方的区域性法规。</w:t>
            </w:r>
          </w:p>
          <w:p>
            <w:pPr>
              <w:pStyle w:val="null3"/>
            </w:pPr>
            <w:r>
              <w:rPr>
                <w:rFonts w:ascii="仿宋_GB2312" w:hAnsi="仿宋_GB2312" w:cs="仿宋_GB2312" w:eastAsia="仿宋_GB2312"/>
              </w:rPr>
              <w:t>4.</w:t>
            </w:r>
            <w:r>
              <w:rPr>
                <w:rFonts w:ascii="仿宋_GB2312" w:hAnsi="仿宋_GB2312" w:cs="仿宋_GB2312" w:eastAsia="仿宋_GB2312"/>
              </w:rPr>
              <w:t>该项目采用工程总承包方式，总承包单位负责工程设计</w:t>
            </w:r>
            <w:r>
              <w:rPr>
                <w:rFonts w:ascii="仿宋_GB2312" w:hAnsi="仿宋_GB2312" w:cs="仿宋_GB2312" w:eastAsia="仿宋_GB2312"/>
              </w:rPr>
              <w:t>+</w:t>
            </w:r>
            <w:r>
              <w:rPr>
                <w:rFonts w:ascii="仿宋_GB2312" w:hAnsi="仿宋_GB2312" w:cs="仿宋_GB2312" w:eastAsia="仿宋_GB2312"/>
              </w:rPr>
              <w:t>软硬件设备</w:t>
            </w:r>
            <w:r>
              <w:rPr>
                <w:rFonts w:ascii="仿宋_GB2312" w:hAnsi="仿宋_GB2312" w:cs="仿宋_GB2312" w:eastAsia="仿宋_GB2312"/>
              </w:rPr>
              <w:t>采购安装</w:t>
            </w:r>
            <w:r>
              <w:rPr>
                <w:rFonts w:ascii="仿宋_GB2312" w:hAnsi="仿宋_GB2312" w:cs="仿宋_GB2312" w:eastAsia="仿宋_GB2312"/>
              </w:rPr>
              <w:t>+</w:t>
            </w:r>
            <w:r>
              <w:rPr>
                <w:rFonts w:ascii="仿宋_GB2312" w:hAnsi="仿宋_GB2312" w:cs="仿宋_GB2312" w:eastAsia="仿宋_GB2312"/>
              </w:rPr>
              <w:t>装饰装修</w:t>
            </w:r>
            <w:r>
              <w:rPr>
                <w:rFonts w:ascii="仿宋_GB2312" w:hAnsi="仿宋_GB2312" w:cs="仿宋_GB2312" w:eastAsia="仿宋_GB2312"/>
              </w:rPr>
              <w:t>，</w:t>
            </w:r>
            <w:r>
              <w:rPr>
                <w:rFonts w:ascii="仿宋_GB2312" w:hAnsi="仿宋_GB2312" w:cs="仿宋_GB2312" w:eastAsia="仿宋_GB2312"/>
              </w:rPr>
              <w:t>最高限价：</w:t>
            </w:r>
          </w:p>
          <w:p>
            <w:pPr>
              <w:pStyle w:val="null3"/>
            </w:pPr>
            <w:r>
              <w:rPr>
                <w:rFonts w:ascii="仿宋_GB2312" w:hAnsi="仿宋_GB2312" w:cs="仿宋_GB2312" w:eastAsia="仿宋_GB2312"/>
              </w:rPr>
              <w:t>工程设计最高限价：</w:t>
            </w:r>
            <w:r>
              <w:rPr>
                <w:rFonts w:ascii="仿宋_GB2312" w:hAnsi="仿宋_GB2312" w:cs="仿宋_GB2312" w:eastAsia="仿宋_GB2312"/>
              </w:rPr>
              <w:t>100000.00元。</w:t>
            </w:r>
          </w:p>
          <w:p>
            <w:pPr>
              <w:pStyle w:val="null3"/>
            </w:pPr>
            <w:r>
              <w:rPr>
                <w:rFonts w:ascii="仿宋_GB2312" w:hAnsi="仿宋_GB2312" w:cs="仿宋_GB2312" w:eastAsia="仿宋_GB2312"/>
              </w:rPr>
              <w:t>软硬件设备最高限价：</w:t>
            </w:r>
            <w:r>
              <w:rPr>
                <w:rFonts w:ascii="仿宋_GB2312" w:hAnsi="仿宋_GB2312" w:cs="仿宋_GB2312" w:eastAsia="仿宋_GB2312"/>
              </w:rPr>
              <w:t>300000.00元。</w:t>
            </w:r>
          </w:p>
          <w:p>
            <w:pPr>
              <w:pStyle w:val="null3"/>
            </w:pPr>
            <w:r>
              <w:rPr>
                <w:rFonts w:ascii="仿宋_GB2312" w:hAnsi="仿宋_GB2312" w:cs="仿宋_GB2312" w:eastAsia="仿宋_GB2312"/>
              </w:rPr>
              <w:t>装饰装修</w:t>
            </w:r>
            <w:r>
              <w:rPr>
                <w:rFonts w:ascii="仿宋_GB2312" w:hAnsi="仿宋_GB2312" w:cs="仿宋_GB2312" w:eastAsia="仿宋_GB2312"/>
              </w:rPr>
              <w:t>部分</w:t>
            </w:r>
            <w:r>
              <w:rPr>
                <w:rFonts w:ascii="仿宋_GB2312" w:hAnsi="仿宋_GB2312" w:cs="仿宋_GB2312" w:eastAsia="仿宋_GB2312"/>
              </w:rPr>
              <w:t>最高限价：</w:t>
            </w:r>
            <w:r>
              <w:rPr>
                <w:rFonts w:ascii="仿宋_GB2312" w:hAnsi="仿宋_GB2312" w:cs="仿宋_GB2312" w:eastAsia="仿宋_GB2312"/>
              </w:rPr>
              <w:t>1100000.00元。</w:t>
            </w:r>
          </w:p>
          <w:p>
            <w:pPr>
              <w:pStyle w:val="null3"/>
            </w:pPr>
            <w:r>
              <w:rPr>
                <w:rFonts w:ascii="仿宋_GB2312" w:hAnsi="仿宋_GB2312" w:cs="仿宋_GB2312" w:eastAsia="仿宋_GB2312"/>
                <w:sz w:val="21"/>
              </w:rPr>
              <w:t>5.项目实施过程中，在甲方认为必要的情况下，乙方需配合甲方开设共管账户，甲方可将预付款转入共管账户，确保资金安全，待项目验收合格后甲方通知银行办理相关解除手续。</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本工程质量等级为符合国家相关验收标准及其配套的规范要求，并达到合格标准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1、工期：自合同签订之日起，设计时限为15天；装饰装修工期60日。 2、施工地点：西安航空学院指定地点； 3、质保期：（1）质保期：竣工验收合格通过之日起2年；（2）保修要求：属于保修范围和内容的项目，承包人应在接到维修通知后，2天内派人维修。发生紧急抢修事故（如上水管跑水、爆裂，供电设施漏、断电等），承包人应在接到事故通知后6小时内到达事故现场并于6小时内完成应急维修；其他要求：无； 4、付款方式： 设计费:设计审核通过后支付设计合同价95%，项目验收合格后支付剩余5%; 设备采购和安装费：设备到场验收后支付至设备合同价的95%，项目验收合格后支付剩余5%; 装饰装修费:合同签订后支付该部分合同价款的30%，主要材料进场后视情况支付至施工合同价款75%，竣工验收合格后支付施工合同价款80%，待审计决算后按审定金额付清。（以此付款方式为准）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一、1.成交价为暂定合同价； 2.装饰装修费实际结算价格按照审计价格进行结算； 3.本项目设计部分报价和软硬件设备部分报价一次性包死固定不变，现场最终报价环节仅下浮装饰装修部分。 二、供应商需要在线提交所有通过电子化交易平台实施的政府采购项目的响应文件，同时，线下提交响应文件叁份【正本1份，副本2份,电子版（2份，光盘、U盘各一份）,装订应牢固、采用胶装方式，不得拆散、换页等活页装订。】若电子响应文件与纸质响应文件不一致的，以电子响应文件为准。线下递交文件时间：详见本项目磋商公告文件截止时间；线下递交文件地点：西安市高新区高新一路5号正信大厦A座24楼。 三、该项目为交钥匙工程。其中：设计部分报价和软硬件设备部分报价一次性包死；装饰装修部分报价是方案设计的依据，应严格根据现场实际充分考虑施工条件，遵照限额设计，因设计变更额外增加的费用均由承包方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提供履行合同所必需的设备和专业技术能力的说明及承诺函；</w:t>
            </w:r>
          </w:p>
        </w:tc>
        <w:tc>
          <w:tcPr>
            <w:tcW w:type="dxa" w:w="1661"/>
          </w:tcPr>
          <w:p>
            <w:pPr>
              <w:pStyle w:val="null3"/>
            </w:pPr>
            <w:r>
              <w:rPr>
                <w:rFonts w:ascii="仿宋_GB2312" w:hAnsi="仿宋_GB2312" w:cs="仿宋_GB2312" w:eastAsia="仿宋_GB2312"/>
              </w:rPr>
              <w:t>具有履行合同所必须的设备和专业技术能力.docx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装饰装修资质</w:t>
            </w:r>
          </w:p>
        </w:tc>
        <w:tc>
          <w:tcPr>
            <w:tcW w:type="dxa" w:w="3322"/>
          </w:tcPr>
          <w:p>
            <w:pPr>
              <w:pStyle w:val="null3"/>
            </w:pPr>
            <w:r>
              <w:rPr>
                <w:rFonts w:ascii="仿宋_GB2312" w:hAnsi="仿宋_GB2312" w:cs="仿宋_GB2312" w:eastAsia="仿宋_GB2312"/>
              </w:rPr>
              <w:t>装饰装修资质：具备建设行政主管部门颁发的建筑装修装饰工程专业承包二级及以上资质；且具备有效的安全生产许可证；拟派项目经理具备建筑工程专业或装饰装修工程专业二级及以上注册建造师证书，并具备有效的安全生产考核合格证（B证），且无在建工程（提供无在建工程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设计资质</w:t>
            </w:r>
          </w:p>
        </w:tc>
        <w:tc>
          <w:tcPr>
            <w:tcW w:type="dxa" w:w="3322"/>
          </w:tcPr>
          <w:p>
            <w:pPr>
              <w:pStyle w:val="null3"/>
            </w:pPr>
            <w:r>
              <w:rPr>
                <w:rFonts w:ascii="仿宋_GB2312" w:hAnsi="仿宋_GB2312" w:cs="仿宋_GB2312" w:eastAsia="仿宋_GB2312"/>
              </w:rPr>
              <w:t>设计资质：具备工程设计综合甲级资质或建筑行业工程设计乙级以上（含乙级）资质或建筑装饰工程设计专项乙级以上（含乙级）资质；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供应商（联合体）应为中小企业或监狱企业或残疾人福利性单位。供应商（联合体）为中型、小型企业的，提供《中小企业声明函》；供应商（联合体）为监狱企业的，应提供监狱企业的证明文件；供应商（联合体）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本项目接受联合体响应</w:t>
            </w:r>
          </w:p>
        </w:tc>
        <w:tc>
          <w:tcPr>
            <w:tcW w:type="dxa" w:w="3322"/>
          </w:tcPr>
          <w:p>
            <w:pPr>
              <w:pStyle w:val="null3"/>
            </w:pPr>
            <w:r>
              <w:rPr>
                <w:rFonts w:ascii="仿宋_GB2312" w:hAnsi="仿宋_GB2312" w:cs="仿宋_GB2312" w:eastAsia="仿宋_GB2312"/>
              </w:rPr>
              <w:t>接受联合体，属于联合体的提供联合体协议书；</w:t>
            </w:r>
          </w:p>
        </w:tc>
        <w:tc>
          <w:tcPr>
            <w:tcW w:type="dxa" w:w="1661"/>
          </w:tcPr>
          <w:p>
            <w:pPr>
              <w:pStyle w:val="null3"/>
            </w:pPr>
            <w:r>
              <w:rPr>
                <w:rFonts w:ascii="仿宋_GB2312" w:hAnsi="仿宋_GB2312" w:cs="仿宋_GB2312" w:eastAsia="仿宋_GB2312"/>
              </w:rPr>
              <w:t>联合体协议书.docx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控股管理关系.docx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三处均无遗漏，且与所投项目名称、项目编号完全一致。</w:t>
            </w:r>
          </w:p>
        </w:tc>
        <w:tc>
          <w:tcPr>
            <w:tcW w:type="dxa" w:w="1661"/>
          </w:tcPr>
          <w:p>
            <w:pPr>
              <w:pStyle w:val="null3"/>
            </w:pPr>
            <w:r>
              <w:rPr>
                <w:rFonts w:ascii="仿宋_GB2312" w:hAnsi="仿宋_GB2312" w:cs="仿宋_GB2312" w:eastAsia="仿宋_GB2312"/>
              </w:rPr>
              <w:t>响应文件封面 法定代表人证明书与法定代表人授权书.docx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（3）第一次磋商报价未超出磋商文件规定的招标最高限价。</w:t>
            </w:r>
          </w:p>
        </w:tc>
        <w:tc>
          <w:tcPr>
            <w:tcW w:type="dxa" w:w="1661"/>
          </w:tcPr>
          <w:p>
            <w:pPr>
              <w:pStyle w:val="null3"/>
            </w:pPr>
            <w:r>
              <w:rPr>
                <w:rFonts w:ascii="仿宋_GB2312" w:hAnsi="仿宋_GB2312" w:cs="仿宋_GB2312" w:eastAsia="仿宋_GB2312"/>
              </w:rPr>
              <w:t>已标价工程量清单 分项报价表.docx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供应商提供针对本项目的设计方案，包含项目需求和背景的理解、设计重点、难点分析，设计思路、设计构思及设计理念完善以及重点难点分析及对策。 设计方案符合采购项目特点及要求，设计合理，设计服务方案思路清晰，重点、难点，分析对策，思路明确，得10分；评审内容每缺一项扣2分；评审内容有缺陷未完全响应评审标准的扣0.1-1.9分。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针对本项目详细的施工方案，包括:项目经理部组成、施工进度表、施工网络图、确保工期的技术组织措施、确保工程质量技术组织措施、确保安全施工组织措施、新技术新产品新工艺新材料应用、施工机械配备和材料投入计划、确保文明施工措施、项目管理方案等。 施工方案符合采购项目特点及要求，描述详尽且有利于项目实施，得20分；评审内容每缺一项扣2分；评审内容有缺陷未完全响应评审标准的扣0.1-1.9分。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主要材料选择</w:t>
            </w:r>
          </w:p>
        </w:tc>
        <w:tc>
          <w:tcPr>
            <w:tcW w:type="dxa" w:w="2492"/>
          </w:tcPr>
          <w:p>
            <w:pPr>
              <w:pStyle w:val="null3"/>
            </w:pPr>
            <w:r>
              <w:rPr>
                <w:rFonts w:ascii="仿宋_GB2312" w:hAnsi="仿宋_GB2312" w:cs="仿宋_GB2312" w:eastAsia="仿宋_GB2312"/>
              </w:rPr>
              <w:t>供应商针对本项目主要材料选择进行说明提供本项目施工所需主要材料的品牌、型号、技术说明等详细清单。主材清单的完整齐全，选择为主流产品、实用性强、主材选择市场占有率高，满足本项目实际需求使用，得15分；评审内容每缺一项扣3分；评审内容有缺陷未完全响应评审标准的扣0.1-2.9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提供施工所须主要材料（设备）货源渠道证明，包括销售协议或厂家授权等。提供1-4项主要材料（设备）货源渠道证明的计2分；提供5-8项主要材料（设备）货源渠道证明的计4分；提供9-10项主要材料（设备）货源渠道证明的计6分；提供10项以上（不含10）主材材料（设备）渠道证明的计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提供2022年7月1日至今(以合同签订日期为准)类似项目业绩，以合同复印件加盖公章为准。每提供1份得2分，满分10分，未提供得0分。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供应商针对本项目有详细具体的售后服务保障措施，包括：质保期内服务内容、问题响应时间、售后服务人员配备、施工保修承诺书等。 方案制定应完整全面、详细具体，满足项目实施要求，得5分；评审内容每缺一项扣1分；评审内容有缺陷未完全响应评审标准的扣0.1-0.9分。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磋商报价得分=(磋商基准价／最后磋商报价)×价格分值 1.磋商报价是指：设计+软硬件设备+装饰装修总计； 2.计算分数时四舍五入取小数点后两位。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详见附件：联合体协议书.docx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详见附件：方案设计.docx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