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版本号：ZC2025-FW-18220251018001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服务器综合防护系统策略库升级服务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ZC2025-FW-182</w:t>
      </w:r>
      <w:r>
        <w:br/>
      </w:r>
      <w:r>
        <w:br/>
      </w:r>
      <w:r>
        <w:br/>
      </w:r>
    </w:p>
    <w:p>
      <w:pPr>
        <w:pStyle w:val="null3"/>
        <w:jc w:val="center"/>
        <w:outlineLvl w:val="2"/>
      </w:pPr>
      <w:r>
        <w:rPr>
          <w:rFonts w:ascii="仿宋_GB2312" w:hAnsi="仿宋_GB2312" w:cs="仿宋_GB2312" w:eastAsia="仿宋_GB2312"/>
          <w:sz w:val="28"/>
          <w:b/>
        </w:rPr>
        <w:t>陕西省科技资源统筹中心</w:t>
      </w:r>
    </w:p>
    <w:p>
      <w:pPr>
        <w:pStyle w:val="null3"/>
        <w:jc w:val="center"/>
        <w:outlineLvl w:val="2"/>
      </w:pPr>
      <w:r>
        <w:rPr>
          <w:rFonts w:ascii="仿宋_GB2312" w:hAnsi="仿宋_GB2312" w:cs="仿宋_GB2312" w:eastAsia="仿宋_GB2312"/>
          <w:sz w:val="28"/>
          <w:b/>
        </w:rPr>
        <w:t>陕西中采项目管理有限公司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陕西中采项目管理有限公司</w:t>
      </w:r>
      <w:r>
        <w:rPr>
          <w:rFonts w:ascii="仿宋_GB2312" w:hAnsi="仿宋_GB2312" w:cs="仿宋_GB2312" w:eastAsia="仿宋_GB2312"/>
        </w:rPr>
        <w:t>（以下简称“代理机构”）受</w:t>
      </w:r>
      <w:r>
        <w:rPr>
          <w:rFonts w:ascii="仿宋_GB2312" w:hAnsi="仿宋_GB2312" w:cs="仿宋_GB2312" w:eastAsia="仿宋_GB2312"/>
        </w:rPr>
        <w:t>陕西省科技资源统筹中心</w:t>
      </w:r>
      <w:r>
        <w:rPr>
          <w:rFonts w:ascii="仿宋_GB2312" w:hAnsi="仿宋_GB2312" w:cs="仿宋_GB2312" w:eastAsia="仿宋_GB2312"/>
        </w:rPr>
        <w:t>委托，拟对</w:t>
      </w:r>
      <w:r>
        <w:rPr>
          <w:rFonts w:ascii="仿宋_GB2312" w:hAnsi="仿宋_GB2312" w:cs="仿宋_GB2312" w:eastAsia="仿宋_GB2312"/>
        </w:rPr>
        <w:t>服务器综合防护系统策略库升级服务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ZC2025-FW-182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服务器综合防护系统策略库升级服务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贯彻落实《中华人民共和国网络安全法》、《贯彻落实网络安全等级保护制度和关键信息基础设施安全保护制度的指导意见》、《网络安全等级保护基本要求》等国家法律法规要求，保障陕西省科技信息网络系统安全运行，对现有G01服务器综合防护系统购买策略特征库升级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采购包1（服务器综合防护系统策略库升级服务）：属于专门面向小微企业采购。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其他主体证明资料：供应商应为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w:t>
      </w:r>
    </w:p>
    <w:p>
      <w:pPr>
        <w:pStyle w:val="null3"/>
      </w:pPr>
      <w:r>
        <w:rPr>
          <w:rFonts w:ascii="仿宋_GB2312" w:hAnsi="仿宋_GB2312" w:cs="仿宋_GB2312" w:eastAsia="仿宋_GB2312"/>
        </w:rPr>
        <w:t>2、信用证明：供应商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注：以响应文件中提供的承诺书为准）</w:t>
      </w:r>
    </w:p>
    <w:p>
      <w:pPr>
        <w:pStyle w:val="null3"/>
      </w:pPr>
      <w:r>
        <w:rPr>
          <w:rFonts w:ascii="仿宋_GB2312" w:hAnsi="仿宋_GB2312" w:cs="仿宋_GB2312" w:eastAsia="仿宋_GB2312"/>
        </w:rPr>
        <w:t>3、联合体磋商：本项目不接受联合体磋商（注：以响应文件中提供的非联合体磋商的声明为准）。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陕西省科技资源统筹中心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西安市丈八五路10号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翟老师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029-88857938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西安市高新区高新三路9号新时代大厦西四楼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毛鑫、张艳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029-88856058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开户名称：陕西中采项目管理有限公司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银行账号：129911536210906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国家发展改革委员会办公厅颁发的《关于招标代理服务收费有关问题的通知》规定的服务类标准收取，不足6000.00元按6000.00元收取。由成交供应商在领取成交通知书之前一次性向采购代理机构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陕西省科技资源统筹中心</w:t>
      </w:r>
      <w:r>
        <w:rPr>
          <w:rFonts w:ascii="仿宋_GB2312" w:hAnsi="仿宋_GB2312" w:cs="仿宋_GB2312" w:eastAsia="仿宋_GB2312"/>
        </w:rPr>
        <w:t>和</w:t>
      </w:r>
      <w:r>
        <w:rPr>
          <w:rFonts w:ascii="仿宋_GB2312" w:hAnsi="仿宋_GB2312" w:cs="仿宋_GB2312" w:eastAsia="仿宋_GB2312"/>
        </w:rPr>
        <w:t>陕西中采项目管理有限公司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陕西省科技资源统筹中心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陕西省科技资源统筹中心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符合甲方要求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联系人：毛鑫、张艳</w:t>
      </w:r>
    </w:p>
    <w:p>
      <w:pPr>
        <w:pStyle w:val="null3"/>
      </w:pPr>
      <w:r>
        <w:rPr>
          <w:rFonts w:ascii="仿宋_GB2312" w:hAnsi="仿宋_GB2312" w:cs="仿宋_GB2312" w:eastAsia="仿宋_GB2312"/>
        </w:rPr>
        <w:t>联系电话：029-88856058</w:t>
      </w:r>
    </w:p>
    <w:p>
      <w:pPr>
        <w:pStyle w:val="null3"/>
      </w:pPr>
      <w:r>
        <w:rPr>
          <w:rFonts w:ascii="仿宋_GB2312" w:hAnsi="仿宋_GB2312" w:cs="仿宋_GB2312" w:eastAsia="仿宋_GB2312"/>
        </w:rPr>
        <w:t>地址：西安市高新区高新三路9号新时代大厦西四楼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贯彻落实《中华人民共和国网络安全法》、《贯彻落实网络安全等级保护制度和关键信息基础设施安全保护制度的指导意见》、《网络安全等级保护基本要求》等国家法律法规要求，保障陕西省科技信息网络系统安全运行，对现有G01服务器综合防护系统购买策略特征库升级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370,000.00</w:t>
      </w:r>
    </w:p>
    <w:p>
      <w:pPr>
        <w:pStyle w:val="null3"/>
      </w:pPr>
      <w:r>
        <w:rPr>
          <w:rFonts w:ascii="仿宋_GB2312" w:hAnsi="仿宋_GB2312" w:cs="仿宋_GB2312" w:eastAsia="仿宋_GB2312"/>
        </w:rPr>
        <w:t>采购包最高限价（元）: 370,000.00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升级服务期限为三年，云中心部署在内网，包括内网管理中心1个，服务器授权24个，升级内容包括软件版本、应用漏洞防护特征库、威胁行为防护特征库、虚拟补丁特征库、主机系统防范策略库等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标的名称：升级服务期限为三年，云中心部署在内网，包括内网管理中心1个，服务器授权24个，升级内容包括软件版本、应用漏洞防护特征库、威胁行为防护特征库、虚拟补丁特征库、主机系统防范策略库等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一、采购内容及要求</w:t>
            </w:r>
          </w:p>
          <w:p>
            <w:pPr>
              <w:pStyle w:val="null3"/>
              <w:ind w:firstLine="420"/>
            </w:pPr>
            <w:r>
              <w:rPr>
                <w:rFonts w:ascii="仿宋_GB2312" w:hAnsi="仿宋_GB2312" w:cs="仿宋_GB2312" w:eastAsia="仿宋_GB2312"/>
                <w:sz w:val="21"/>
              </w:rPr>
              <w:t>升级服务期限为三年，云中心部署在内网，</w:t>
            </w:r>
            <w:r>
              <w:rPr>
                <w:rFonts w:ascii="仿宋_GB2312" w:hAnsi="仿宋_GB2312" w:cs="仿宋_GB2312" w:eastAsia="仿宋_GB2312"/>
                <w:sz w:val="21"/>
              </w:rPr>
              <w:t>包括</w:t>
            </w:r>
            <w:r>
              <w:rPr>
                <w:rFonts w:ascii="仿宋_GB2312" w:hAnsi="仿宋_GB2312" w:cs="仿宋_GB2312" w:eastAsia="仿宋_GB2312"/>
                <w:sz w:val="21"/>
              </w:rPr>
              <w:t>内网管理中心</w:t>
            </w:r>
            <w:r>
              <w:rPr>
                <w:rFonts w:ascii="仿宋_GB2312" w:hAnsi="仿宋_GB2312" w:cs="仿宋_GB2312" w:eastAsia="仿宋_GB2312"/>
                <w:sz w:val="21"/>
              </w:rPr>
              <w:t>1个，服务器授权</w:t>
            </w:r>
            <w:r>
              <w:rPr>
                <w:rFonts w:ascii="仿宋_GB2312" w:hAnsi="仿宋_GB2312" w:cs="仿宋_GB2312" w:eastAsia="仿宋_GB2312"/>
                <w:sz w:val="21"/>
              </w:rPr>
              <w:t>24</w:t>
            </w:r>
            <w:r>
              <w:rPr>
                <w:rFonts w:ascii="仿宋_GB2312" w:hAnsi="仿宋_GB2312" w:cs="仿宋_GB2312" w:eastAsia="仿宋_GB2312"/>
                <w:sz w:val="21"/>
              </w:rPr>
              <w:t>个，升级内容包括软件版本、应用漏洞防护特征库、威胁行为防护特征库、虚拟补丁特征库、主机系统防范策略库等</w:t>
            </w:r>
            <w:r>
              <w:rPr>
                <w:rFonts w:ascii="仿宋_GB2312" w:hAnsi="仿宋_GB2312" w:cs="仿宋_GB2312" w:eastAsia="仿宋_GB2312"/>
                <w:sz w:val="21"/>
              </w:rPr>
              <w:t>，当前软件版本</w:t>
            </w:r>
            <w:r>
              <w:rPr>
                <w:rFonts w:ascii="仿宋_GB2312" w:hAnsi="仿宋_GB2312" w:cs="仿宋_GB2312" w:eastAsia="仿宋_GB2312"/>
                <w:sz w:val="21"/>
              </w:rPr>
              <w:t>3.1.23.20</w:t>
            </w:r>
            <w:r>
              <w:rPr>
                <w:rFonts w:ascii="仿宋_GB2312" w:hAnsi="仿宋_GB2312" w:cs="仿宋_GB2312" w:eastAsia="仿宋_GB2312"/>
                <w:sz w:val="21"/>
              </w:rPr>
              <w:t>。</w:t>
            </w:r>
            <w:r>
              <w:rPr>
                <w:rFonts w:ascii="仿宋_GB2312" w:hAnsi="仿宋_GB2312" w:cs="仿宋_GB2312" w:eastAsia="仿宋_GB2312"/>
                <w:sz w:val="21"/>
              </w:rPr>
              <w:t>软件功能如下：</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web应用防护：支持nginx、apache等主流web服务器，支持weblogic、tomcat等主流java中间件；具有SQL注入、跨站脚本攻击等网络漏洞攻击防护；能识别CC攻击，并自动屏蔽IP地址；具有webshell自动隔离、webshell实时防护、未知sql注入漏洞防护、struts2漏洞防护、反序列化漏洞防护、命令执行漏洞防护等高级安全防护；针对公开的0day漏洞能及时发布虚拟补丁进行防护。</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2）系统防护：支持windows、centos、麒麟</w:t>
            </w:r>
            <w:r>
              <w:rPr>
                <w:rFonts w:ascii="仿宋_GB2312" w:hAnsi="仿宋_GB2312" w:cs="仿宋_GB2312" w:eastAsia="仿宋_GB2312"/>
                <w:sz w:val="21"/>
              </w:rPr>
              <w:t>、统信</w:t>
            </w:r>
            <w:r>
              <w:rPr>
                <w:rFonts w:ascii="仿宋_GB2312" w:hAnsi="仿宋_GB2312" w:cs="仿宋_GB2312" w:eastAsia="仿宋_GB2312"/>
                <w:sz w:val="21"/>
              </w:rPr>
              <w:t>等主流操作系统，</w:t>
            </w:r>
            <w:r>
              <w:rPr>
                <w:rFonts w:ascii="仿宋_GB2312" w:hAnsi="仿宋_GB2312" w:cs="仿宋_GB2312" w:eastAsia="仿宋_GB2312"/>
                <w:sz w:val="21"/>
              </w:rPr>
              <w:t>包括操作系统加固、防暴力扫描、防暴力破解等功能。可实现应用网络访问过滤、</w:t>
            </w:r>
            <w:r>
              <w:rPr>
                <w:rFonts w:ascii="仿宋_GB2312" w:hAnsi="仿宋_GB2312" w:cs="仿宋_GB2312" w:eastAsia="仿宋_GB2312"/>
                <w:sz w:val="21"/>
              </w:rPr>
              <w:t>IP层流量过滤、文件读写防护、进程创建监控、应用白名单控制、高危操作拦截等主机防护功能。</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3）日志</w:t>
            </w:r>
            <w:r>
              <w:rPr>
                <w:rFonts w:ascii="仿宋_GB2312" w:hAnsi="仿宋_GB2312" w:cs="仿宋_GB2312" w:eastAsia="仿宋_GB2312"/>
                <w:sz w:val="21"/>
              </w:rPr>
              <w:t>管理</w:t>
            </w:r>
            <w:r>
              <w:rPr>
                <w:rFonts w:ascii="仿宋_GB2312" w:hAnsi="仿宋_GB2312" w:cs="仿宋_GB2312" w:eastAsia="仿宋_GB2312"/>
                <w:sz w:val="21"/>
              </w:rPr>
              <w:t>：对</w:t>
            </w:r>
            <w:r>
              <w:rPr>
                <w:rFonts w:ascii="仿宋_GB2312" w:hAnsi="仿宋_GB2312" w:cs="仿宋_GB2312" w:eastAsia="仿宋_GB2312"/>
                <w:sz w:val="21"/>
              </w:rPr>
              <w:t>应用漏洞</w:t>
            </w:r>
            <w:r>
              <w:rPr>
                <w:rFonts w:ascii="仿宋_GB2312" w:hAnsi="仿宋_GB2312" w:cs="仿宋_GB2312" w:eastAsia="仿宋_GB2312"/>
                <w:sz w:val="21"/>
              </w:rPr>
              <w:t>防护、系统防护、系统登录等</w:t>
            </w:r>
            <w:r>
              <w:rPr>
                <w:rFonts w:ascii="仿宋_GB2312" w:hAnsi="仿宋_GB2312" w:cs="仿宋_GB2312" w:eastAsia="仿宋_GB2312"/>
                <w:sz w:val="21"/>
              </w:rPr>
              <w:t>非法</w:t>
            </w:r>
            <w:r>
              <w:rPr>
                <w:rFonts w:ascii="仿宋_GB2312" w:hAnsi="仿宋_GB2312" w:cs="仿宋_GB2312" w:eastAsia="仿宋_GB2312"/>
                <w:sz w:val="21"/>
              </w:rPr>
              <w:t>行为均记录日志，可分类查询，可根据起止时间查询，日志明确显示攻击时间、攻击类型、攻击</w:t>
            </w:r>
            <w:r>
              <w:rPr>
                <w:rFonts w:ascii="仿宋_GB2312" w:hAnsi="仿宋_GB2312" w:cs="仿宋_GB2312" w:eastAsia="仿宋_GB2312"/>
                <w:sz w:val="21"/>
              </w:rPr>
              <w:t>IP、攻击详情等信息。</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4）资源监控：可对服务器的CPU、内存、磁盘、网络等资源进行监控，达到设定阈值后报警。</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5）管理中心：</w:t>
            </w:r>
            <w:r>
              <w:rPr>
                <w:rFonts w:ascii="仿宋_GB2312" w:hAnsi="仿宋_GB2312" w:cs="仿宋_GB2312" w:eastAsia="仿宋_GB2312"/>
                <w:sz w:val="21"/>
              </w:rPr>
              <w:t>具备</w:t>
            </w:r>
            <w:r>
              <w:rPr>
                <w:rFonts w:ascii="仿宋_GB2312" w:hAnsi="仿宋_GB2312" w:cs="仿宋_GB2312" w:eastAsia="仿宋_GB2312"/>
                <w:sz w:val="21"/>
              </w:rPr>
              <w:t>攻击行为统计分析</w:t>
            </w:r>
            <w:r>
              <w:rPr>
                <w:rFonts w:ascii="仿宋_GB2312" w:hAnsi="仿宋_GB2312" w:cs="仿宋_GB2312" w:eastAsia="仿宋_GB2312"/>
                <w:sz w:val="21"/>
              </w:rPr>
              <w:t>和</w:t>
            </w:r>
            <w:r>
              <w:rPr>
                <w:rFonts w:ascii="仿宋_GB2312" w:hAnsi="仿宋_GB2312" w:cs="仿宋_GB2312" w:eastAsia="仿宋_GB2312"/>
                <w:sz w:val="21"/>
              </w:rPr>
              <w:t>可视化展示，对安全事件能进行详细分析，展示事件概要描述、攻击摘要、攻击记录，方便管理员进行安全防护策略调整；提供详细的操作审计日志。</w:t>
            </w:r>
          </w:p>
          <w:p>
            <w:pPr>
              <w:pStyle w:val="null3"/>
            </w:pPr>
            <w:r>
              <w:rPr>
                <w:rFonts w:ascii="仿宋_GB2312" w:hAnsi="仿宋_GB2312" w:cs="仿宋_GB2312" w:eastAsia="仿宋_GB2312"/>
                <w:sz w:val="21"/>
                <w:b/>
              </w:rPr>
              <w:t>二、商务要求</w:t>
            </w:r>
          </w:p>
          <w:p>
            <w:pPr>
              <w:pStyle w:val="null3"/>
              <w:ind w:firstLine="420"/>
            </w:pPr>
            <w:r>
              <w:rPr>
                <w:rFonts w:ascii="仿宋_GB2312" w:hAnsi="仿宋_GB2312" w:cs="仿宋_GB2312" w:eastAsia="仿宋_GB2312"/>
                <w:sz w:val="21"/>
              </w:rPr>
              <w:t>1、付款方式：合同签订后，甲方向乙方支付合同总金额的70%价款作为预付款</w:t>
            </w:r>
            <w:r>
              <w:rPr>
                <w:rFonts w:ascii="仿宋_GB2312" w:hAnsi="仿宋_GB2312" w:cs="仿宋_GB2312" w:eastAsia="仿宋_GB2312"/>
                <w:sz w:val="21"/>
              </w:rPr>
              <w:t>，</w:t>
            </w:r>
            <w:r>
              <w:rPr>
                <w:rFonts w:ascii="仿宋_GB2312" w:hAnsi="仿宋_GB2312" w:cs="仿宋_GB2312" w:eastAsia="仿宋_GB2312"/>
                <w:sz w:val="21"/>
              </w:rPr>
              <w:t>待整体项目完成</w:t>
            </w:r>
            <w:r>
              <w:rPr>
                <w:rFonts w:ascii="仿宋_GB2312" w:hAnsi="仿宋_GB2312" w:cs="仿宋_GB2312" w:eastAsia="仿宋_GB2312"/>
                <w:sz w:val="21"/>
              </w:rPr>
              <w:t>并验收合格</w:t>
            </w:r>
            <w:r>
              <w:rPr>
                <w:rFonts w:ascii="仿宋_GB2312" w:hAnsi="仿宋_GB2312" w:cs="仿宋_GB2312" w:eastAsia="仿宋_GB2312"/>
                <w:sz w:val="21"/>
              </w:rPr>
              <w:t>后甲方在</w:t>
            </w:r>
            <w:r>
              <w:rPr>
                <w:rFonts w:ascii="仿宋_GB2312" w:hAnsi="仿宋_GB2312" w:cs="仿宋_GB2312" w:eastAsia="仿宋_GB2312"/>
                <w:sz w:val="21"/>
              </w:rPr>
              <w:t>10个工作日内向乙方一次性支付剩余30%尾款。</w:t>
            </w:r>
          </w:p>
          <w:p>
            <w:pPr>
              <w:pStyle w:val="null3"/>
              <w:ind w:firstLine="420"/>
            </w:pPr>
            <w:r>
              <w:rPr>
                <w:rFonts w:ascii="仿宋_GB2312" w:hAnsi="仿宋_GB2312" w:cs="仿宋_GB2312" w:eastAsia="仿宋_GB2312"/>
                <w:sz w:val="21"/>
              </w:rPr>
              <w:t>2、服务期限：</w:t>
            </w:r>
            <w:r>
              <w:rPr>
                <w:rFonts w:ascii="仿宋_GB2312" w:hAnsi="仿宋_GB2312" w:cs="仿宋_GB2312" w:eastAsia="仿宋_GB2312"/>
                <w:sz w:val="21"/>
              </w:rPr>
              <w:t>自合同签订之日起</w:t>
            </w:r>
            <w:r>
              <w:rPr>
                <w:rFonts w:ascii="仿宋_GB2312" w:hAnsi="仿宋_GB2312" w:cs="仿宋_GB2312" w:eastAsia="仿宋_GB2312"/>
                <w:sz w:val="21"/>
              </w:rPr>
              <w:t>30日历天内完成（本项目为一签多年项目，总服务期为3年，每年系统升级期限为</w:t>
            </w:r>
            <w:r>
              <w:rPr>
                <w:rFonts w:ascii="仿宋_GB2312" w:hAnsi="仿宋_GB2312" w:cs="仿宋_GB2312" w:eastAsia="仿宋_GB2312"/>
                <w:sz w:val="21"/>
              </w:rPr>
              <w:t>自合同签订之日起</w:t>
            </w:r>
            <w:r>
              <w:rPr>
                <w:rFonts w:ascii="仿宋_GB2312" w:hAnsi="仿宋_GB2312" w:cs="仿宋_GB2312" w:eastAsia="仿宋_GB2312"/>
                <w:sz w:val="21"/>
              </w:rPr>
              <w:t>30日历天内</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3、质量标准：符合国家及行业质量验收合格标准。</w:t>
            </w:r>
          </w:p>
          <w:p>
            <w:pPr>
              <w:pStyle w:val="null3"/>
              <w:jc w:val="both"/>
            </w:pPr>
            <w:r>
              <w:rPr>
                <w:rFonts w:ascii="仿宋_GB2312" w:hAnsi="仿宋_GB2312" w:cs="仿宋_GB2312" w:eastAsia="仿宋_GB2312"/>
                <w:sz w:val="21"/>
              </w:rPr>
              <w:t xml:space="preserve">        4、质保期：自验收通过之日起提供1年质保。</w:t>
            </w:r>
          </w:p>
          <w:p>
            <w:pPr>
              <w:pStyle w:val="null3"/>
              <w:jc w:val="both"/>
            </w:pPr>
            <w:r>
              <w:rPr>
                <w:rFonts w:ascii="仿宋_GB2312" w:hAnsi="仿宋_GB2312" w:cs="仿宋_GB2312" w:eastAsia="仿宋_GB2312"/>
              </w:rPr>
              <w:t>备注：本次项目最高限价为三年的费用。</w:t>
            </w:r>
          </w:p>
          <w:p>
            <w:pPr>
              <w:pStyle w:val="null3"/>
              <w:ind w:firstLine="420"/>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西安市丈八五路10号（陕西省科技资源统筹中心）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符合国家及行业质量验收合格标准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合同签订后，甲方向乙方支付合同总金额的70%价款作为预付款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待整体项目完成并验收合格后甲方在10个工作日内向乙方一次性支付剩余30%尾款。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提供会计师事务所出具的完整的2024年度审计报告（成立时间至提交磋商响应文件截止时间不足一年的可提供成立后任意时段的资产负债表），或提交磋商响应截止时间前6个月内银行出具的资信证明，或信用担保机构出具的担保函（以上三种形式的资料提供任何一种即可）；其他组织和自然人提供银行出具的资信证明或财务报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参与的供应商（联合体）服务全部由符合政策要求的小微企业承接。本采购包专门面向小微企业采购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营业执照或其他主体证明资料</w:t>
            </w:r>
          </w:p>
        </w:tc>
        <w:tc>
          <w:tcPr>
            <w:tcW w:type="dxa" w:w="3322"/>
          </w:tcPr>
          <w:p>
            <w:pPr>
              <w:pStyle w:val="null3"/>
            </w:pPr>
            <w:r>
              <w:rPr>
                <w:rFonts w:ascii="仿宋_GB2312" w:hAnsi="仿宋_GB2312" w:cs="仿宋_GB2312" w:eastAsia="仿宋_GB2312"/>
              </w:rPr>
              <w:t>供应商应为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注：以响应文件中提供的承诺书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本项目不接受联合体磋商（注：以响应文件中提供的非联合体磋商的声明为准）。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明，且与营业执照或其他证明资料上信息一致。法定代表人授权代表参加磋商的，须出具法定代表人授权书及授权代表身份证扫描件；自然人参加磋商的须提供身份证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磋商响应文件签章</w:t>
            </w:r>
          </w:p>
        </w:tc>
        <w:tc>
          <w:tcPr>
            <w:tcW w:type="dxa" w:w="3322"/>
          </w:tcPr>
          <w:p>
            <w:pPr>
              <w:pStyle w:val="null3"/>
            </w:pPr>
            <w:r>
              <w:rPr>
                <w:rFonts w:ascii="仿宋_GB2312" w:hAnsi="仿宋_GB2312" w:cs="仿宋_GB2312" w:eastAsia="仿宋_GB2312"/>
              </w:rPr>
              <w:t>按磋商文件要求签署、加盖印章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供应商认为需要提供的其他资料.docx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每次报价唯一，且未超过采购包最高限价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合同主要条款响应</w:t>
            </w:r>
          </w:p>
        </w:tc>
        <w:tc>
          <w:tcPr>
            <w:tcW w:type="dxa" w:w="3322"/>
          </w:tcPr>
          <w:p>
            <w:pPr>
              <w:pStyle w:val="null3"/>
            </w:pPr>
            <w:r>
              <w:rPr>
                <w:rFonts w:ascii="仿宋_GB2312" w:hAnsi="仿宋_GB2312" w:cs="仿宋_GB2312" w:eastAsia="仿宋_GB2312"/>
              </w:rPr>
              <w:t>对“服务内容、付款方式”等实质性内容进行响应且未附加采购人难以接受的条件</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供应商认为需要提供的其他资料.docx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根据磋商文件内容及要求，列出对项目的理解、总体服务思路、方案。 项目理解准确、总体思路合理、方案详细具体，针对性充足且完全符合项目需求的，计10分； 项目理解无误、总体思路基本合理、方案明确，具有一定针对性且基本符合项目需求的，计7分； 项目理解有误、总体思路不合理、方案含糊或有实质性缺陷，无针对性且无法满足项目需求的，计4分； 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重点把握突出、难点分析</w:t>
            </w:r>
          </w:p>
        </w:tc>
        <w:tc>
          <w:tcPr>
            <w:tcW w:type="dxa" w:w="2492"/>
          </w:tcPr>
          <w:p>
            <w:pPr>
              <w:pStyle w:val="null3"/>
            </w:pPr>
            <w:r>
              <w:rPr>
                <w:rFonts w:ascii="仿宋_GB2312" w:hAnsi="仿宋_GB2312" w:cs="仿宋_GB2312" w:eastAsia="仿宋_GB2312"/>
              </w:rPr>
              <w:t>对本项目的重点把握突出、难点分析到位、提出有针对性的解决方案，解决方案合理计10分； 分析不全面、解决方案简单粗略计7分； 无重点、难点分析或解决方案有明显缺陷，不能保证项目正常进行计4分。 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为更好的服务于本项目及采购人，供应商对项目做出详尽、全面、有效、合理的服务质量保障措施。 服务质量管理体系健全完善、质量目标明确，保证措施内容详细全面，条理清晰，针对性充足且完全满足项目实施计10分； 服务质量管理体系较完善、质量目标明确，保证措施详细、条理清晰，有针对性计8分； 服务质量管理体系不完善，质量目标及保证措施明确，保证措施内容明确但条理不清晰，有一定针对性，计6分； 服务质量管理体系不完善，质量目标及保证措施内容含糊或有实质性缺陷，条理不清晰，针对性不足计3分； 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工作进度计划保障措施</w:t>
            </w:r>
          </w:p>
        </w:tc>
        <w:tc>
          <w:tcPr>
            <w:tcW w:type="dxa" w:w="2492"/>
          </w:tcPr>
          <w:p>
            <w:pPr>
              <w:pStyle w:val="null3"/>
            </w:pPr>
            <w:r>
              <w:rPr>
                <w:rFonts w:ascii="仿宋_GB2312" w:hAnsi="仿宋_GB2312" w:cs="仿宋_GB2312" w:eastAsia="仿宋_GB2312"/>
              </w:rPr>
              <w:t>进度计划组织措施内容全面且详细，条理清晰，针对性充足且完全满足项目实施，计10分； 组织措施措施明确、条理清晰，针对性充足，计8分； 组织措施明确，条理不清晰，针对性不足，能够满足项目实施，计6分； 组织措施内容含糊，条理不清晰或有实质性缺陷，针对性不足，无法满足项目实施，计3分； 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针对本项目拟配备服务团队人员架构齐全、数量充足、专业经验丰富，配备方案合理高效，逻辑结构清晰且具有针对性计10分； 针对本项目拟配备服务团队人员架构基本齐全、数量基本充足、专业经验丰富，配备方案明确且具有一定合理性，逻辑结构基本清晰且具有一定针对性的计7分 ； 针对本项目拟配备服务团队人员架构明确、数量不足、专业经验不足，配备方案含糊，逻辑结构不清晰且针对性不足计4分。 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针对本项目情况及采购人要求，对本项目档案管理人员进行技术培训： 培训方案完整、可行性充足，培训计划详细计10分； 培训方案基本完整，有一定可行性计，培训计划明确7分； 培训方案粗略，有明显缺陷，可行性不足，培训计划含糊，计4分。 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供应商提供完善的服务承诺及措施。 承诺及措施内容完善，合理性充足计10分； 承诺及措施内容较完善，基本合理计7分； 承诺及措施内容粗略，合理性不足计4分。 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根据供应商提供的应急预案，应急预案保障措施详细具体、切实可行，计10分； 应急预案保障措施明确且基本可行，计7分； 应急预案保障措施含糊，可行性不足，计4分； 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供应商自2022年1月1日至磋商响应文件递交截止时间前类似项目业绩，每提供1份得2.5分，满分10分。 注：以响应文件中所附的合同协议书复印件为准，时间以合同签订时间为准。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评审范围：有效的磋商响应总报价（指经初审合格的供应商的磋商响应总报价）。2.满足磋商文件要求且最后报价最低的供应商的价格为磋商基准价，其价格分为满分。其他供应商的价格分统一按照下列公式计算： 磋商报价得分=（磋商基准价/最后磋商报价）×分值×100。 3.评分分值计算保留小数点后两位，小数点后第三位“四舍五入”。4.对需要落实政府采购政策的供应商详见“采购项目需要落实的政府采购政策”。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详见附件：供应商认为需要提供的其他资料.docx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