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版本号：SCZA2025-ZB-2628-00120251017001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陕西省数字财政项目（二期）非税暨票据管理一体化平台-非税收入电子化收缴模块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SCZA2025-ZB-2628-001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陕西省数字财政项目（二期）非税暨票据管理一体化平台-非税收入电子化收缴模块</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SCZA2025-ZB-2628-001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陕西省数字财政项目（二期）非税暨票据管理一体化平台-非税收入电子化收缴模块</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陕西省数字财政项目（二期）非税暨票据管理一体化平台-非税收入电子化收缴模块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1、信用信息：投标人在递交响应文件截止时间前被“信用中国 ” 网站（www.creditchina.gov.cn）和中国政府采购网（www.ccgp.gov.cn）上被列入失信被执行人、重大税收违法失信主体、政府采购 严重违法失信行为记录名单的，不得参加投标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029-68939180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 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采购包1：5,275,100.00元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以甲方要求为准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为满足《财政部关于稳步推广电子非税收入一般缴款书的通知（财库〔2021〕46号）》要求，提升财政对非税收缴业务和政府采购的标准化管理及服务水平，达到财政部完成非税暨票据管理业务完善的目标。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5,275,100.00</w:t>
      </w:r>
    </w:p>
    <w:p>
      <w:pPr>
        <w:pStyle w:val="null3"/>
      </w:pPr>
      <w:r>
        <w:rPr>
          <w:rFonts w:ascii="仿宋_GB2312" w:hAnsi="仿宋_GB2312" w:cs="仿宋_GB2312" w:eastAsia="仿宋_GB2312"/>
        </w:rPr>
        <w:t>采购包最高限价（元）: 5,275,100.00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非税暨票据管理一体化平台-非税收入电子化收缴模块建设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5,275,100.00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标的名称：非税暨票据管理一体化平台-非税收入电子化收缴模块建设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202"/>
              <w:gridCol w:w="2152"/>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2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2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1"/>
                      <w:b/>
                    </w:rPr>
                    <w:t>建设背景及依据</w:t>
                  </w:r>
                </w:p>
                <w:p>
                  <w:pPr>
                    <w:pStyle w:val="null3"/>
                    <w:spacing w:after="165"/>
                    <w:ind w:firstLine="420"/>
                    <w:jc w:val="both"/>
                  </w:pPr>
                  <w:r>
                    <w:rPr>
                      <w:rFonts w:ascii="仿宋_GB2312" w:hAnsi="仿宋_GB2312" w:cs="仿宋_GB2312" w:eastAsia="仿宋_GB2312"/>
                      <w:sz w:val="21"/>
                      <w:color w:val="993300"/>
                    </w:rPr>
                    <w:t>（一）建设背景</w:t>
                  </w:r>
                </w:p>
                <w:p>
                  <w:pPr>
                    <w:pStyle w:val="null3"/>
                    <w:spacing w:after="165"/>
                    <w:ind w:firstLine="420"/>
                    <w:jc w:val="both"/>
                  </w:pPr>
                  <w:r>
                    <w:rPr>
                      <w:rFonts w:ascii="仿宋_GB2312" w:hAnsi="仿宋_GB2312" w:cs="仿宋_GB2312" w:eastAsia="仿宋_GB2312"/>
                      <w:sz w:val="21"/>
                    </w:rPr>
                    <w:t>陕西省财政厅在2017年提出了“加快财政业务一体化，构建陕西财政云”的战略发展构想，并于2018年9月正式启动陕西财政云（一期）建设，2020年1月全面上线，2021年底完成部标改造升级。该项目通过技术集成的模式，对建设“十四五”期间的数字财政、全面云化的一体化和集中化财政业务系统综合管理板块的补充。</w:t>
                  </w:r>
                </w:p>
                <w:p>
                  <w:pPr>
                    <w:pStyle w:val="null3"/>
                    <w:spacing w:after="165"/>
                    <w:ind w:firstLine="420"/>
                    <w:jc w:val="both"/>
                  </w:pPr>
                  <w:r>
                    <w:rPr>
                      <w:rFonts w:ascii="仿宋_GB2312" w:hAnsi="仿宋_GB2312" w:cs="仿宋_GB2312" w:eastAsia="仿宋_GB2312"/>
                      <w:sz w:val="21"/>
                    </w:rPr>
                    <w:t>陕西省非税暨票据管理一体化平台于2019年5月启动建设，5月20日初步建成并上线试运行，通过与陕西省政务服务网融合建设，实现无缝对接、互联互通，提供多种缴款渠道及缴费方式，打造高效便民、跨地域无障碍的非税收入收缴公共服务平台，全面提升政府非税收入收缴管理水平。</w:t>
                  </w:r>
                </w:p>
                <w:p>
                  <w:pPr>
                    <w:pStyle w:val="null3"/>
                    <w:spacing w:after="165"/>
                    <w:ind w:firstLine="420"/>
                    <w:jc w:val="both"/>
                  </w:pPr>
                  <w:r>
                    <w:rPr>
                      <w:rFonts w:ascii="仿宋_GB2312" w:hAnsi="仿宋_GB2312" w:cs="仿宋_GB2312" w:eastAsia="仿宋_GB2312"/>
                      <w:sz w:val="21"/>
                    </w:rPr>
                    <w:t>随着非税收入管理逐步规范、互联网金融快速发展，非税收入的管理内涵、管理模式、收缴手段等都发生了较大变化，对深化非税收入收缴管理改革也提出了更高的要求。财政部发布了《财政部办公厅关于印发电子非税收入一般缴款书有关业务规范和技术标准（试行）的通知》（财发办〔2021〕97号），按照《预算管理一体化规范（试行）》的参照预算一体化的标准和规范，明确了数据要素、数据结构定义、接口标准等。同时发布《财政部关于稳步推广电子非税收入一般缴款书的通知》（财库〔2021〕46号）决定在中央部门和地方财政部门稳步推广电子非税收入一般缴款书。</w:t>
                  </w:r>
                </w:p>
                <w:p>
                  <w:pPr>
                    <w:pStyle w:val="null3"/>
                    <w:spacing w:after="165"/>
                    <w:ind w:firstLine="420"/>
                    <w:jc w:val="both"/>
                  </w:pPr>
                  <w:r>
                    <w:rPr>
                      <w:rFonts w:ascii="仿宋_GB2312" w:hAnsi="仿宋_GB2312" w:cs="仿宋_GB2312" w:eastAsia="仿宋_GB2312"/>
                      <w:sz w:val="21"/>
                    </w:rPr>
                    <w:t>为进一步促进陕西省非税收入收缴管理工作提质增效，结合本省非税收缴电子化和预算管理一体化工作总体要求，按照文件要求制定工作方案，实现《非税收入一般缴款书》电子化改革，同时通过建设完善非税收入电子化缴库、全省交通违法缴款二次对账、财政专户资金数据对接、非税收入电子缴库、退库、更正（调库）等，使用技术手段创新管理，打通非税收入收缴“最后一公里”，提升数字政府建设水平、提高资金缴库效率，保障资金安全流转、加强财务规范和内部监管。同时降低执收单位管理成本，快速定位并解决群众问题，增强缴款人体验。</w:t>
                  </w:r>
                </w:p>
                <w:p>
                  <w:pPr>
                    <w:pStyle w:val="null3"/>
                    <w:ind w:firstLine="420"/>
                    <w:jc w:val="both"/>
                  </w:pPr>
                  <w:r>
                    <w:rPr>
                      <w:rFonts w:ascii="仿宋_GB2312" w:hAnsi="仿宋_GB2312" w:cs="仿宋_GB2312" w:eastAsia="仿宋_GB2312"/>
                      <w:sz w:val="21"/>
                      <w:color w:val="993300"/>
                    </w:rPr>
                    <w:t>（二）政策依据</w:t>
                  </w:r>
                </w:p>
                <w:p>
                  <w:pPr>
                    <w:pStyle w:val="null3"/>
                    <w:ind w:firstLine="420"/>
                    <w:jc w:val="both"/>
                  </w:pPr>
                  <w:r>
                    <w:rPr>
                      <w:rFonts w:ascii="仿宋_GB2312" w:hAnsi="仿宋_GB2312" w:cs="仿宋_GB2312" w:eastAsia="仿宋_GB2312"/>
                      <w:sz w:val="21"/>
                    </w:rPr>
                    <w:t>财政部印发《关于加快推进地方政府非税收入收缴电子化管理工作的通知》（财库〔2017〕7号）</w:t>
                  </w:r>
                </w:p>
                <w:p>
                  <w:pPr>
                    <w:pStyle w:val="null3"/>
                    <w:ind w:firstLine="420"/>
                    <w:jc w:val="both"/>
                  </w:pPr>
                  <w:r>
                    <w:rPr>
                      <w:rFonts w:ascii="仿宋_GB2312" w:hAnsi="仿宋_GB2312" w:cs="仿宋_GB2312" w:eastAsia="仿宋_GB2312"/>
                      <w:sz w:val="21"/>
                    </w:rPr>
                    <w:t>《财政部关于深入推进地方预算管理一体化建设的通知》(财办〔2024〕28号)。</w:t>
                  </w:r>
                </w:p>
                <w:p>
                  <w:pPr>
                    <w:pStyle w:val="null3"/>
                    <w:ind w:firstLine="420"/>
                    <w:jc w:val="both"/>
                  </w:pPr>
                  <w:r>
                    <w:rPr>
                      <w:rFonts w:ascii="仿宋_GB2312" w:hAnsi="仿宋_GB2312" w:cs="仿宋_GB2312" w:eastAsia="仿宋_GB2312"/>
                      <w:sz w:val="21"/>
                    </w:rPr>
                    <w:t>《财政部关于稳步推广电子非税收入一般缴款书的通知（财库〔2021〕46号）》</w:t>
                  </w:r>
                </w:p>
                <w:p>
                  <w:pPr>
                    <w:pStyle w:val="null3"/>
                    <w:ind w:firstLine="420"/>
                    <w:jc w:val="both"/>
                  </w:pPr>
                  <w:r>
                    <w:rPr>
                      <w:rFonts w:ascii="仿宋_GB2312" w:hAnsi="仿宋_GB2312" w:cs="仿宋_GB2312" w:eastAsia="仿宋_GB2312"/>
                      <w:sz w:val="21"/>
                    </w:rPr>
                    <w:t>《财政部关于开展电子非税收入一般缴款书试点的通知》（财库〔2021〕31号文）</w:t>
                  </w:r>
                </w:p>
                <w:p>
                  <w:pPr>
                    <w:pStyle w:val="null3"/>
                    <w:ind w:firstLine="420"/>
                    <w:jc w:val="both"/>
                  </w:pPr>
                  <w:r>
                    <w:rPr>
                      <w:rFonts w:ascii="仿宋_GB2312" w:hAnsi="仿宋_GB2312" w:cs="仿宋_GB2312" w:eastAsia="仿宋_GB2312"/>
                      <w:sz w:val="21"/>
                    </w:rPr>
                    <w:t>财政部关于印发《财政电子票据管理办法》的通知（财综〔2024〕62号）</w:t>
                  </w:r>
                </w:p>
                <w:p>
                  <w:pPr>
                    <w:pStyle w:val="null3"/>
                    <w:numPr>
                      <w:ilvl w:val="0"/>
                      <w:numId w:val="1"/>
                    </w:numPr>
                  </w:pPr>
                  <w:r>
                    <w:rPr>
                      <w:rFonts w:ascii="仿宋_GB2312" w:hAnsi="仿宋_GB2312" w:cs="仿宋_GB2312" w:eastAsia="仿宋_GB2312"/>
                      <w:sz w:val="21"/>
                      <w:b/>
                    </w:rPr>
                    <w:t>建设目标</w:t>
                  </w:r>
                </w:p>
                <w:p>
                  <w:pPr>
                    <w:pStyle w:val="null3"/>
                    <w:spacing w:after="165"/>
                    <w:ind w:firstLine="420"/>
                    <w:jc w:val="both"/>
                  </w:pPr>
                  <w:r>
                    <w:rPr>
                      <w:rFonts w:ascii="仿宋_GB2312" w:hAnsi="仿宋_GB2312" w:cs="仿宋_GB2312" w:eastAsia="仿宋_GB2312"/>
                      <w:sz w:val="21"/>
                      <w:color w:val="993300"/>
                    </w:rPr>
                    <w:t>（一）政务目标</w:t>
                  </w:r>
                </w:p>
                <w:p>
                  <w:pPr>
                    <w:pStyle w:val="null3"/>
                    <w:spacing w:after="165"/>
                    <w:ind w:firstLine="420"/>
                    <w:jc w:val="both"/>
                  </w:pPr>
                  <w:r>
                    <w:rPr>
                      <w:rFonts w:ascii="仿宋_GB2312" w:hAnsi="仿宋_GB2312" w:cs="仿宋_GB2312" w:eastAsia="仿宋_GB2312"/>
                      <w:sz w:val="21"/>
                    </w:rPr>
                    <w:t>为满足《财政部关于稳步推广电子非税收入一般缴款书的通知（财库〔2021〕46号）》要求，提升财政对非税收缴业务和政府采购的标准化管理及服务水平，达到财政部完成非税暨票据管理业务完善的目标。</w:t>
                  </w:r>
                </w:p>
                <w:p>
                  <w:pPr>
                    <w:pStyle w:val="null3"/>
                    <w:spacing w:after="165"/>
                    <w:ind w:firstLine="420"/>
                    <w:jc w:val="both"/>
                  </w:pPr>
                  <w:r>
                    <w:rPr>
                      <w:rFonts w:ascii="仿宋_GB2312" w:hAnsi="仿宋_GB2312" w:cs="仿宋_GB2312" w:eastAsia="仿宋_GB2312"/>
                      <w:sz w:val="21"/>
                      <w:color w:val="993300"/>
                    </w:rPr>
                    <w:t>（二）业务目标</w:t>
                  </w:r>
                </w:p>
                <w:p>
                  <w:pPr>
                    <w:pStyle w:val="null3"/>
                    <w:spacing w:after="165"/>
                    <w:ind w:firstLine="420"/>
                    <w:jc w:val="both"/>
                  </w:pPr>
                  <w:r>
                    <w:rPr>
                      <w:rFonts w:ascii="仿宋_GB2312" w:hAnsi="仿宋_GB2312" w:cs="仿宋_GB2312" w:eastAsia="仿宋_GB2312"/>
                      <w:sz w:val="21"/>
                    </w:rPr>
                    <w:t>电子一般缴款书改革，是提升数字政府建设水平、增强缴款人体验、降低执收单位管理成本、加强财务规范和内部监管的重要举措，非税收入一般缴款书作为非税收入国库集中收缴管理通用凭证，具有缴款凭证和收款收据功能，结合非税收入收缴电子化，通过非税收入收缴管理系统（以下简称非税系统），实现电子缴款书制样、赋码、生成、传输、查验、核销、入账、报销和归档等全流程电子化管理，构建全程无纸化、渠道多元化和入账电子化的非税收入收缴管理体系，逐步推进全国非税收入收缴信息和电子缴款书汇总、共享和反馈。</w:t>
                  </w:r>
                </w:p>
                <w:p>
                  <w:pPr>
                    <w:pStyle w:val="null3"/>
                    <w:spacing w:after="165"/>
                    <w:ind w:firstLine="420"/>
                    <w:jc w:val="both"/>
                  </w:pPr>
                  <w:r>
                    <w:rPr>
                      <w:rFonts w:ascii="仿宋_GB2312" w:hAnsi="仿宋_GB2312" w:cs="仿宋_GB2312" w:eastAsia="仿宋_GB2312"/>
                      <w:sz w:val="21"/>
                    </w:rPr>
                    <w:t>非税暨票据管理一体化平台电子化缴库建设目标，是通过复用财政、人民银行已有的电子凭证库实现非税资金电子凭证库缴库，提高资金缴库效率，保障资金安全流转，进一步优化退库、更库电子化短板，切实提升财政、单位国库业务效率。</w:t>
                  </w:r>
                </w:p>
                <w:p>
                  <w:pPr>
                    <w:pStyle w:val="null3"/>
                    <w:spacing w:after="165"/>
                    <w:ind w:firstLine="420"/>
                    <w:jc w:val="both"/>
                  </w:pPr>
                  <w:r>
                    <w:rPr>
                      <w:rFonts w:ascii="仿宋_GB2312" w:hAnsi="仿宋_GB2312" w:cs="仿宋_GB2312" w:eastAsia="仿宋_GB2312"/>
                      <w:sz w:val="21"/>
                    </w:rPr>
                    <w:t>全省交警交罚二次对账平台建设目标，是通过各收款机构将每日收款数据上传至二次对账平台，生成对账结果文件再返回给各收款机构的方式，从而降低交警单位人员核查成本，快速定位并解决群众问题。</w:t>
                  </w:r>
                </w:p>
                <w:p>
                  <w:pPr>
                    <w:pStyle w:val="null3"/>
                    <w:spacing w:after="165"/>
                    <w:ind w:firstLine="420"/>
                    <w:jc w:val="both"/>
                  </w:pPr>
                  <w:r>
                    <w:rPr>
                      <w:rFonts w:ascii="仿宋_GB2312" w:hAnsi="仿宋_GB2312" w:cs="仿宋_GB2312" w:eastAsia="仿宋_GB2312"/>
                      <w:sz w:val="21"/>
                    </w:rPr>
                    <w:t>财政专户管理资金数据对接，是落实非税系统融入预算一体化平台的重要步骤，数据规范遵循《预算管理一体化系统外部接口标准V1．0》，一体化系统获取非税系统的《非税收入信息》《非税清分信息》《非税缴款信息》并记财政专户收入账务处理，经过财政部门确认后，用于控制财政专户资金支付，财政专户资金支付不得超过财政部门确认的单位收入金额，实现教育类资金双重预算控制。</w:t>
                  </w:r>
                </w:p>
                <w:p>
                  <w:pPr>
                    <w:pStyle w:val="null3"/>
                    <w:spacing w:after="165"/>
                    <w:ind w:firstLine="420"/>
                    <w:jc w:val="both"/>
                  </w:pPr>
                  <w:r>
                    <w:rPr>
                      <w:rFonts w:ascii="仿宋_GB2312" w:hAnsi="仿宋_GB2312" w:cs="仿宋_GB2312" w:eastAsia="仿宋_GB2312"/>
                      <w:sz w:val="21"/>
                      <w:color w:val="993300"/>
                    </w:rPr>
                    <w:t>（三）信息化目标</w:t>
                  </w:r>
                </w:p>
                <w:p>
                  <w:pPr>
                    <w:pStyle w:val="null3"/>
                    <w:spacing w:after="165"/>
                    <w:ind w:firstLine="420"/>
                    <w:jc w:val="both"/>
                  </w:pPr>
                  <w:r>
                    <w:rPr>
                      <w:rFonts w:ascii="仿宋_GB2312" w:hAnsi="仿宋_GB2312" w:cs="仿宋_GB2312" w:eastAsia="仿宋_GB2312"/>
                      <w:sz w:val="21"/>
                    </w:rPr>
                    <w:t>通过对非税暨票据管理一体化平台—非税收入电子化收缴模块建设，将覆盖全省11个地市、143个财政区划、一万九千余家执收单位、用票单位等，实现非税票据全流程电子化管理的全面覆盖。</w:t>
                  </w:r>
                </w:p>
                <w:p>
                  <w:pPr>
                    <w:pStyle w:val="null3"/>
                    <w:numPr>
                      <w:ilvl w:val="0"/>
                      <w:numId w:val="1"/>
                    </w:numPr>
                  </w:pPr>
                  <w:r>
                    <w:rPr>
                      <w:rFonts w:ascii="仿宋_GB2312" w:hAnsi="仿宋_GB2312" w:cs="仿宋_GB2312" w:eastAsia="仿宋_GB2312"/>
                      <w:sz w:val="21"/>
                      <w:b/>
                    </w:rPr>
                    <w:t>建设内容</w:t>
                  </w:r>
                </w:p>
                <w:p>
                  <w:pPr>
                    <w:pStyle w:val="null3"/>
                    <w:spacing w:after="165"/>
                    <w:ind w:firstLine="420"/>
                    <w:jc w:val="both"/>
                  </w:pPr>
                  <w:r>
                    <w:rPr>
                      <w:rFonts w:ascii="仿宋_GB2312" w:hAnsi="仿宋_GB2312" w:cs="仿宋_GB2312" w:eastAsia="仿宋_GB2312"/>
                      <w:sz w:val="21"/>
                      <w:color w:val="993300"/>
                    </w:rPr>
                    <w:t>（一）电子一般缴款书</w:t>
                  </w:r>
                </w:p>
                <w:p>
                  <w:pPr>
                    <w:pStyle w:val="null3"/>
                    <w:ind w:firstLine="420"/>
                    <w:jc w:val="both"/>
                  </w:pPr>
                  <w:r>
                    <w:rPr>
                      <w:rFonts w:ascii="仿宋_GB2312" w:hAnsi="仿宋_GB2312" w:cs="仿宋_GB2312" w:eastAsia="仿宋_GB2312"/>
                      <w:sz w:val="21"/>
                    </w:rPr>
                    <w:t>运用计算机和信息网络手段，以电子票据代替纸质票据、以电子签名代替手工签名、以网络传送代替人工配送，实现《非税收入一般缴款书》电子票据的高效流转。实现财政《非税收入一般缴款书》电子票据的开具、管理、传输、查询、存储、报销入账和社会化应用等全流程无纸化电子化控制主要扩建内容如下。</w:t>
                  </w:r>
                </w:p>
                <w:p>
                  <w:pPr>
                    <w:pStyle w:val="null3"/>
                    <w:ind w:firstLine="420"/>
                    <w:jc w:val="both"/>
                  </w:pPr>
                  <w:r>
                    <w:rPr>
                      <w:rFonts w:ascii="仿宋_GB2312" w:hAnsi="仿宋_GB2312" w:cs="仿宋_GB2312" w:eastAsia="仿宋_GB2312"/>
                      <w:sz w:val="21"/>
                    </w:rPr>
                    <w:t>1、确定制样管理流程的制样主体，电子缴款书样式和编码；</w:t>
                  </w:r>
                </w:p>
                <w:p>
                  <w:pPr>
                    <w:pStyle w:val="null3"/>
                    <w:ind w:firstLine="420"/>
                    <w:jc w:val="both"/>
                  </w:pPr>
                  <w:r>
                    <w:rPr>
                      <w:rFonts w:ascii="仿宋_GB2312" w:hAnsi="仿宋_GB2312" w:cs="仿宋_GB2312" w:eastAsia="仿宋_GB2312"/>
                      <w:sz w:val="21"/>
                    </w:rPr>
                    <w:t>2、赋码管理流程的电子缴款书票号管理；</w:t>
                  </w:r>
                </w:p>
                <w:p>
                  <w:pPr>
                    <w:pStyle w:val="null3"/>
                    <w:ind w:firstLine="420"/>
                    <w:jc w:val="both"/>
                  </w:pPr>
                  <w:r>
                    <w:rPr>
                      <w:rFonts w:ascii="仿宋_GB2312" w:hAnsi="仿宋_GB2312" w:cs="仿宋_GB2312" w:eastAsia="仿宋_GB2312"/>
                      <w:sz w:val="21"/>
                    </w:rPr>
                    <w:t>3、生成/开具管理流程新增电子缴款书预开具流程；</w:t>
                  </w:r>
                </w:p>
                <w:p>
                  <w:pPr>
                    <w:pStyle w:val="null3"/>
                    <w:ind w:firstLine="420"/>
                    <w:jc w:val="both"/>
                  </w:pPr>
                  <w:r>
                    <w:rPr>
                      <w:rFonts w:ascii="仿宋_GB2312" w:hAnsi="仿宋_GB2312" w:cs="仿宋_GB2312" w:eastAsia="仿宋_GB2312"/>
                      <w:sz w:val="21"/>
                    </w:rPr>
                    <w:t>4、传输管理流程增加短信交付兼容电子缴款书功能；</w:t>
                  </w:r>
                </w:p>
                <w:p>
                  <w:pPr>
                    <w:pStyle w:val="null3"/>
                    <w:ind w:firstLine="420"/>
                    <w:jc w:val="both"/>
                  </w:pPr>
                  <w:r>
                    <w:rPr>
                      <w:rFonts w:ascii="仿宋_GB2312" w:hAnsi="仿宋_GB2312" w:cs="仿宋_GB2312" w:eastAsia="仿宋_GB2312"/>
                      <w:sz w:val="21"/>
                    </w:rPr>
                    <w:t>5、查验环节在我省财政电子票据公共服务平台增加兼容电子缴款书查验业务；</w:t>
                  </w:r>
                </w:p>
                <w:p>
                  <w:pPr>
                    <w:pStyle w:val="null3"/>
                    <w:ind w:firstLine="420"/>
                    <w:jc w:val="both"/>
                  </w:pPr>
                  <w:r>
                    <w:rPr>
                      <w:rFonts w:ascii="仿宋_GB2312" w:hAnsi="仿宋_GB2312" w:cs="仿宋_GB2312" w:eastAsia="仿宋_GB2312"/>
                      <w:sz w:val="21"/>
                    </w:rPr>
                    <w:t>6、在电子缴款书管理流程中增加核销管理流程；</w:t>
                  </w:r>
                </w:p>
                <w:p>
                  <w:pPr>
                    <w:pStyle w:val="null3"/>
                    <w:ind w:firstLine="420"/>
                    <w:jc w:val="both"/>
                  </w:pPr>
                  <w:r>
                    <w:rPr>
                      <w:rFonts w:ascii="仿宋_GB2312" w:hAnsi="仿宋_GB2312" w:cs="仿宋_GB2312" w:eastAsia="仿宋_GB2312"/>
                      <w:sz w:val="21"/>
                    </w:rPr>
                    <w:t>7、增加业务兼容处理，保证不影响现有业务的情况下，同时支持新旧非税收缴业务模式；</w:t>
                  </w:r>
                </w:p>
                <w:p>
                  <w:pPr>
                    <w:pStyle w:val="null3"/>
                    <w:ind w:firstLine="420"/>
                    <w:jc w:val="both"/>
                  </w:pPr>
                  <w:r>
                    <w:rPr>
                      <w:rFonts w:ascii="仿宋_GB2312" w:hAnsi="仿宋_GB2312" w:cs="仿宋_GB2312" w:eastAsia="仿宋_GB2312"/>
                      <w:sz w:val="21"/>
                    </w:rPr>
                    <w:t>8、对非税票据系统的数据规范进行转换处理，以满足与预算一体化系统的数据对接业务。</w:t>
                  </w:r>
                </w:p>
                <w:p>
                  <w:pPr>
                    <w:pStyle w:val="null3"/>
                    <w:spacing w:after="165"/>
                    <w:ind w:firstLine="420"/>
                    <w:jc w:val="both"/>
                  </w:pPr>
                  <w:r>
                    <w:rPr>
                      <w:rFonts w:ascii="仿宋_GB2312" w:hAnsi="仿宋_GB2312" w:cs="仿宋_GB2312" w:eastAsia="仿宋_GB2312"/>
                      <w:sz w:val="21"/>
                      <w:color w:val="993300"/>
                    </w:rPr>
                    <w:t>（二）电子化缴库建设</w:t>
                  </w:r>
                </w:p>
                <w:p>
                  <w:pPr>
                    <w:pStyle w:val="null3"/>
                    <w:spacing w:after="165"/>
                    <w:ind w:firstLine="420"/>
                    <w:jc w:val="both"/>
                  </w:pPr>
                  <w:r>
                    <w:rPr>
                      <w:rFonts w:ascii="仿宋_GB2312" w:hAnsi="仿宋_GB2312" w:cs="仿宋_GB2312" w:eastAsia="仿宋_GB2312"/>
                      <w:sz w:val="21"/>
                    </w:rPr>
                    <w:t>非税收入电子化缴库建设，财政部门线上发起缴库、退库、调库（更正），通过电子凭证库与人民银行金库对接，实现缴库、退库、调库（更正）电子化。</w:t>
                  </w:r>
                </w:p>
                <w:p>
                  <w:pPr>
                    <w:pStyle w:val="null3"/>
                    <w:spacing w:after="165"/>
                    <w:ind w:firstLine="420"/>
                    <w:jc w:val="both"/>
                  </w:pPr>
                  <w:r>
                    <w:rPr>
                      <w:rFonts w:ascii="仿宋_GB2312" w:hAnsi="仿宋_GB2312" w:cs="仿宋_GB2312" w:eastAsia="仿宋_GB2312"/>
                      <w:sz w:val="21"/>
                    </w:rPr>
                    <w:t>非税系统通过内外网交互与预算管理一体化系统对接建设，通过预算管理一体化系统调用电子凭证库完成缴库、退库、调库（更正）电子化业务办理。</w:t>
                  </w:r>
                </w:p>
                <w:p>
                  <w:pPr>
                    <w:pStyle w:val="null3"/>
                    <w:spacing w:after="165"/>
                    <w:ind w:firstLine="420"/>
                    <w:jc w:val="both"/>
                  </w:pPr>
                  <w:r>
                    <w:rPr>
                      <w:rFonts w:ascii="仿宋_GB2312" w:hAnsi="仿宋_GB2312" w:cs="仿宋_GB2312" w:eastAsia="仿宋_GB2312"/>
                      <w:sz w:val="21"/>
                    </w:rPr>
                    <w:t>按照与电子凭证库约定的报文规范，完成非税收入电子化缴库日终对账建设，实现人民银行通过电子凭证库向财政部门发送非税收入电子凭证日报表收支余明细和非税收入各征收渠道日报表收支余明细，支撑非税收入对账。</w:t>
                  </w:r>
                </w:p>
                <w:p>
                  <w:pPr>
                    <w:pStyle w:val="null3"/>
                    <w:spacing w:after="165"/>
                    <w:ind w:firstLine="420"/>
                    <w:jc w:val="both"/>
                  </w:pPr>
                  <w:r>
                    <w:rPr>
                      <w:rFonts w:ascii="仿宋_GB2312" w:hAnsi="仿宋_GB2312" w:cs="仿宋_GB2312" w:eastAsia="仿宋_GB2312"/>
                      <w:sz w:val="21"/>
                      <w:color w:val="993300"/>
                    </w:rPr>
                    <w:t>（三）交罚缴款二次对账</w:t>
                  </w:r>
                </w:p>
                <w:p>
                  <w:pPr>
                    <w:pStyle w:val="null3"/>
                    <w:spacing w:after="165"/>
                    <w:ind w:firstLine="420"/>
                    <w:jc w:val="both"/>
                  </w:pPr>
                  <w:r>
                    <w:rPr>
                      <w:rFonts w:ascii="仿宋_GB2312" w:hAnsi="仿宋_GB2312" w:cs="仿宋_GB2312" w:eastAsia="仿宋_GB2312"/>
                      <w:sz w:val="21"/>
                    </w:rPr>
                    <w:t>交罚缴款二次对账业务，是通过陕西省非税暨票据管理一体化平台与全省交通违法缴款二次对账管理平台进行对接，将缴款数据上传至二次对账平台，进行缴款数据二次核对，从而降低交管单位人员核查成本，快速定位并解决群众问题，具体数据类型包含对账文件、退款文件。</w:t>
                  </w:r>
                </w:p>
                <w:p>
                  <w:pPr>
                    <w:pStyle w:val="null3"/>
                    <w:spacing w:after="165"/>
                    <w:ind w:firstLine="420"/>
                    <w:jc w:val="both"/>
                  </w:pPr>
                  <w:r>
                    <w:rPr>
                      <w:rFonts w:ascii="仿宋_GB2312" w:hAnsi="仿宋_GB2312" w:cs="仿宋_GB2312" w:eastAsia="仿宋_GB2312"/>
                      <w:sz w:val="21"/>
                      <w:color w:val="993300"/>
                    </w:rPr>
                    <w:t>（四）财政专户管理资金数据对接</w:t>
                  </w:r>
                </w:p>
                <w:p>
                  <w:pPr>
                    <w:pStyle w:val="null3"/>
                    <w:ind w:firstLine="420"/>
                    <w:jc w:val="both"/>
                  </w:pPr>
                  <w:r>
                    <w:rPr>
                      <w:rFonts w:ascii="仿宋_GB2312" w:hAnsi="仿宋_GB2312" w:cs="仿宋_GB2312" w:eastAsia="仿宋_GB2312"/>
                      <w:sz w:val="21"/>
                    </w:rPr>
                    <w:t>非税系统收到代理银行缴款成功信息并核对一致后，向预算管理一体化系统发送非税收入信息，进行财政专户会计核算。</w:t>
                  </w:r>
                </w:p>
                <w:p>
                  <w:pPr>
                    <w:pStyle w:val="null3"/>
                    <w:ind w:firstLine="420"/>
                    <w:jc w:val="both"/>
                  </w:pPr>
                  <w:r>
                    <w:rPr>
                      <w:rFonts w:ascii="仿宋_GB2312" w:hAnsi="仿宋_GB2312" w:cs="仿宋_GB2312" w:eastAsia="仿宋_GB2312"/>
                      <w:sz w:val="21"/>
                    </w:rPr>
                    <w:t>非税系统收到代理银行清分成功信息并核对一致后，向预算管理一体化系统发送非税清分信息，进行财政专户会计核算。</w:t>
                  </w:r>
                </w:p>
                <w:p>
                  <w:pPr>
                    <w:pStyle w:val="null3"/>
                    <w:ind w:firstLine="420"/>
                    <w:jc w:val="both"/>
                  </w:pPr>
                  <w:r>
                    <w:rPr>
                      <w:rFonts w:ascii="仿宋_GB2312" w:hAnsi="仿宋_GB2312" w:cs="仿宋_GB2312" w:eastAsia="仿宋_GB2312"/>
                      <w:sz w:val="21"/>
                    </w:rPr>
                    <w:t>非税系统收到代理银行划转专户成功信息并核对一致后，向预算管理一体化系统发送非税划转专户信息，进行财政专户会计核算和财政总预算会计核算。</w:t>
                  </w:r>
                </w:p>
                <w:p>
                  <w:pPr>
                    <w:pStyle w:val="null3"/>
                    <w:ind w:firstLine="420"/>
                    <w:jc w:val="both"/>
                  </w:pPr>
                  <w:r>
                    <w:rPr>
                      <w:rFonts w:ascii="仿宋_GB2312" w:hAnsi="仿宋_GB2312" w:cs="仿宋_GB2312" w:eastAsia="仿宋_GB2312"/>
                      <w:sz w:val="21"/>
                    </w:rPr>
                    <w:t>非税系统向预算管理一体化系统发送非税执收项目与收入科目关系信息，进行非税收入信息、非税清分信息、非税划转专户信息账务校验。</w:t>
                  </w:r>
                </w:p>
                <w:p>
                  <w:pPr>
                    <w:pStyle w:val="null3"/>
                    <w:spacing w:after="165"/>
                    <w:ind w:firstLine="420"/>
                    <w:jc w:val="both"/>
                  </w:pPr>
                  <w:r>
                    <w:rPr>
                      <w:rFonts w:ascii="仿宋_GB2312" w:hAnsi="仿宋_GB2312" w:cs="仿宋_GB2312" w:eastAsia="仿宋_GB2312"/>
                      <w:sz w:val="21"/>
                      <w:color w:val="993300"/>
                    </w:rPr>
                    <w:t>（五）对非税暨票据管理一体化平台进行国产化适配。</w:t>
                  </w:r>
                </w:p>
                <w:p>
                  <w:pPr>
                    <w:pStyle w:val="null3"/>
                    <w:numPr>
                      <w:ilvl w:val="0"/>
                      <w:numId w:val="1"/>
                    </w:numPr>
                  </w:pPr>
                  <w:r>
                    <w:rPr>
                      <w:rFonts w:ascii="仿宋_GB2312" w:hAnsi="仿宋_GB2312" w:cs="仿宋_GB2312" w:eastAsia="仿宋_GB2312"/>
                      <w:sz w:val="21"/>
                      <w:b/>
                    </w:rPr>
                    <w:t>业务需求</w:t>
                  </w:r>
                </w:p>
                <w:p>
                  <w:pPr>
                    <w:pStyle w:val="null3"/>
                    <w:spacing w:after="165"/>
                    <w:ind w:firstLine="420"/>
                    <w:jc w:val="both"/>
                  </w:pPr>
                  <w:r>
                    <w:rPr>
                      <w:rFonts w:ascii="仿宋_GB2312" w:hAnsi="仿宋_GB2312" w:cs="仿宋_GB2312" w:eastAsia="仿宋_GB2312"/>
                      <w:sz w:val="21"/>
                      <w:color w:val="993300"/>
                    </w:rPr>
                    <w:t>（一）电子一般缴款书</w:t>
                  </w:r>
                </w:p>
                <w:p>
                  <w:pPr>
                    <w:pStyle w:val="null3"/>
                    <w:ind w:firstLine="420"/>
                    <w:jc w:val="both"/>
                  </w:pPr>
                  <w:r>
                    <w:rPr>
                      <w:rFonts w:ascii="仿宋_GB2312" w:hAnsi="仿宋_GB2312" w:cs="仿宋_GB2312" w:eastAsia="仿宋_GB2312"/>
                      <w:sz w:val="21"/>
                    </w:rPr>
                    <w:t>1、本次建设应实现电子缴款书制样、赋码、生成、传输、查验、核销、入账、报销等全流程电子化管理，构建全流程无纸化。完全替代纸质《非税收入一般缴款书》，实现非税电子化收缴全面覆盖。</w:t>
                  </w:r>
                </w:p>
                <w:p>
                  <w:pPr>
                    <w:pStyle w:val="null3"/>
                    <w:ind w:firstLine="420"/>
                    <w:jc w:val="both"/>
                  </w:pPr>
                  <w:r>
                    <w:rPr>
                      <w:rFonts w:ascii="仿宋_GB2312" w:hAnsi="仿宋_GB2312" w:cs="仿宋_GB2312" w:eastAsia="仿宋_GB2312"/>
                      <w:sz w:val="21"/>
                    </w:rPr>
                    <w:t>2、缴款书获取业务环节。本次应支持以电子化方式将开具的电子一般缴款书通过交付渠道推送给缴款人，缴款人可直接线上获取电子缴款书，无需返回执收单位。</w:t>
                  </w:r>
                </w:p>
                <w:p>
                  <w:pPr>
                    <w:pStyle w:val="null3"/>
                    <w:ind w:firstLine="420"/>
                    <w:jc w:val="both"/>
                  </w:pPr>
                  <w:r>
                    <w:rPr>
                      <w:rFonts w:ascii="仿宋_GB2312" w:hAnsi="仿宋_GB2312" w:cs="仿宋_GB2312" w:eastAsia="仿宋_GB2312"/>
                      <w:sz w:val="21"/>
                    </w:rPr>
                    <w:t>3、报销、入账和归档环节。本次应实现电子缴款书报销、入账，财政部门和执收单位归档。</w:t>
                  </w:r>
                </w:p>
                <w:p>
                  <w:pPr>
                    <w:pStyle w:val="null3"/>
                    <w:ind w:firstLine="420"/>
                    <w:jc w:val="both"/>
                  </w:pPr>
                  <w:r>
                    <w:rPr>
                      <w:rFonts w:ascii="仿宋_GB2312" w:hAnsi="仿宋_GB2312" w:cs="仿宋_GB2312" w:eastAsia="仿宋_GB2312"/>
                      <w:sz w:val="21"/>
                    </w:rPr>
                    <w:t>4、电子缴款书本次应实现电子缴款书与电子票据合并，执收单位进行电子缴款书开具，缴款人缴款完成后进行电子票据监制，发挥《非税收入一般缴款书》“以票控收”的作用。</w:t>
                  </w:r>
                </w:p>
                <w:p>
                  <w:pPr>
                    <w:pStyle w:val="null3"/>
                    <w:ind w:firstLine="420"/>
                    <w:jc w:val="both"/>
                  </w:pPr>
                  <w:r>
                    <w:rPr>
                      <w:rFonts w:ascii="仿宋_GB2312" w:hAnsi="仿宋_GB2312" w:cs="仿宋_GB2312" w:eastAsia="仿宋_GB2312"/>
                      <w:sz w:val="21"/>
                    </w:rPr>
                    <w:t>5、电子缴款书上线切换，需确保非税收入收缴系统业务连贯性不受影响，满足财政“先试点，再分批推广”的政策要求，实现按区划、单位分批切换。</w:t>
                  </w:r>
                </w:p>
                <w:p>
                  <w:pPr>
                    <w:pStyle w:val="null3"/>
                    <w:spacing w:after="165"/>
                    <w:ind w:firstLine="420"/>
                    <w:jc w:val="both"/>
                  </w:pPr>
                  <w:r>
                    <w:rPr>
                      <w:rFonts w:ascii="仿宋_GB2312" w:hAnsi="仿宋_GB2312" w:cs="仿宋_GB2312" w:eastAsia="仿宋_GB2312"/>
                      <w:sz w:val="21"/>
                      <w:color w:val="993300"/>
                    </w:rPr>
                    <w:t>（二）非税收入电子化缴库</w:t>
                  </w:r>
                </w:p>
                <w:p>
                  <w:pPr>
                    <w:pStyle w:val="null3"/>
                    <w:spacing w:after="165"/>
                    <w:ind w:firstLine="420"/>
                    <w:jc w:val="both"/>
                  </w:pPr>
                  <w:r>
                    <w:rPr>
                      <w:rFonts w:ascii="仿宋_GB2312" w:hAnsi="仿宋_GB2312" w:cs="仿宋_GB2312" w:eastAsia="仿宋_GB2312"/>
                      <w:sz w:val="21"/>
                    </w:rPr>
                    <w:t>1、非税收入电子化缴库建设，应实现由财政部门发起缴库，通过电子凭证库向代理银行发送已签章的缴库凭证（包括缴款书明细信息）；代理银行收到缴库凭证后，通过支付系统将资金缴入国库，通过电子凭证库向人民银行发送已签章的缴库凭证；人民银行收到凭证与资金后进行会计核算及确认，向财政部门发送已签章的缴库凭证。通过电子凭证库打通财政部门、代理银行、人民银行的业务数据流，进而实现缴库全流程电子化。</w:t>
                  </w:r>
                </w:p>
                <w:p>
                  <w:pPr>
                    <w:pStyle w:val="null3"/>
                    <w:spacing w:after="165"/>
                    <w:ind w:firstLine="420"/>
                    <w:jc w:val="both"/>
                  </w:pPr>
                  <w:r>
                    <w:rPr>
                      <w:rFonts w:ascii="仿宋_GB2312" w:hAnsi="仿宋_GB2312" w:cs="仿宋_GB2312" w:eastAsia="仿宋_GB2312"/>
                      <w:sz w:val="21"/>
                    </w:rPr>
                    <w:t>2、非税收入电子化退库建设，应实现由执收单位发起线上申请，财政部门审核后，生成退付审核表和收入退还书（包括收款信息、缴款码及对应的缴库凭证信息等），通过电子凭证库向人民银行发送退库指令及附件材料；人民银行完成退库后，通过电子凭证库向财政部门发送凭证回执；财政部门根据凭证回执更新退付申请业务状态，并同步进行电子票据冲红。</w:t>
                  </w:r>
                </w:p>
                <w:p>
                  <w:pPr>
                    <w:pStyle w:val="null3"/>
                    <w:spacing w:after="165"/>
                    <w:ind w:firstLine="420"/>
                    <w:jc w:val="both"/>
                  </w:pPr>
                  <w:r>
                    <w:rPr>
                      <w:rFonts w:ascii="仿宋_GB2312" w:hAnsi="仿宋_GB2312" w:cs="仿宋_GB2312" w:eastAsia="仿宋_GB2312"/>
                      <w:sz w:val="21"/>
                    </w:rPr>
                    <w:t>3、非税收入电子化更库（调库）建设，应实现由财政部门或执收单位发起线上申请，生成更正（调库）通知书凭证（包括更正调库信息，执收单位原缴款码及对应的缴库单信息等），通过电子凭证库向人民银行发送更库指令及附件材料；人民银行收到更正（调库）通知书凭证后，进行更正（调库）业务办理，将凭证回单通过电子凭证库发送至财政部门；财政部门根据凭证回单调整缴库单状态。</w:t>
                  </w:r>
                </w:p>
                <w:p>
                  <w:pPr>
                    <w:pStyle w:val="null3"/>
                    <w:spacing w:after="165"/>
                    <w:ind w:firstLine="420"/>
                    <w:jc w:val="both"/>
                  </w:pPr>
                  <w:r>
                    <w:rPr>
                      <w:rFonts w:ascii="仿宋_GB2312" w:hAnsi="仿宋_GB2312" w:cs="仿宋_GB2312" w:eastAsia="仿宋_GB2312"/>
                      <w:sz w:val="21"/>
                    </w:rPr>
                    <w:t>4、非税收入电子化缴库日终对账建设，应实现人民银行通过电子凭证库向财政部门发送非税收入电子凭证日报表收支余明细，用于核对通过电子凭证库办理的缴库、退库、更库业务的账务信息；发送非税收入各征收渠道日报表收支余明细，用于核对各科目当日通过税务部门代征缴库、电子凭证库缴库、就地缴库等各缴库渠道收缴的非税收入账务信息。</w:t>
                  </w:r>
                </w:p>
                <w:p>
                  <w:pPr>
                    <w:pStyle w:val="null3"/>
                    <w:spacing w:after="165"/>
                    <w:ind w:firstLine="420"/>
                    <w:jc w:val="both"/>
                  </w:pPr>
                  <w:r>
                    <w:rPr>
                      <w:rFonts w:ascii="仿宋_GB2312" w:hAnsi="仿宋_GB2312" w:cs="仿宋_GB2312" w:eastAsia="仿宋_GB2312"/>
                      <w:sz w:val="21"/>
                    </w:rPr>
                    <w:t>5、本次复用国库集中支付业务电子凭证库，保证缴库、退库和调库环节均能生成符合《电子签名法》的有效凭证，满足财政部门基于电子签名、电子印章等安全基础设施的国家相关标准，保障收缴电子化业务流程中所涉及的重要电子文件合法有效、安全传输、安全存储。</w:t>
                  </w:r>
                </w:p>
                <w:p>
                  <w:pPr>
                    <w:pStyle w:val="null3"/>
                    <w:spacing w:after="165"/>
                    <w:ind w:firstLine="420"/>
                    <w:jc w:val="both"/>
                  </w:pPr>
                  <w:r>
                    <w:rPr>
                      <w:rFonts w:ascii="仿宋_GB2312" w:hAnsi="仿宋_GB2312" w:cs="仿宋_GB2312" w:eastAsia="仿宋_GB2312"/>
                      <w:sz w:val="21"/>
                    </w:rPr>
                    <w:t>6、本次建设需实现非税系统与预算管理一体化系统对接，通过预算管理一体化系统调用电子凭证库完成缴库、退库、调库（更正）电子化。</w:t>
                  </w:r>
                </w:p>
                <w:p>
                  <w:pPr>
                    <w:pStyle w:val="null3"/>
                    <w:spacing w:after="165"/>
                    <w:ind w:firstLine="420"/>
                    <w:jc w:val="both"/>
                  </w:pPr>
                  <w:r>
                    <w:rPr>
                      <w:rFonts w:ascii="仿宋_GB2312" w:hAnsi="仿宋_GB2312" w:cs="仿宋_GB2312" w:eastAsia="仿宋_GB2312"/>
                      <w:sz w:val="21"/>
                      <w:color w:val="993300"/>
                    </w:rPr>
                    <w:t>（三）全省交通违法缴款二次对账</w:t>
                  </w:r>
                </w:p>
                <w:p>
                  <w:pPr>
                    <w:pStyle w:val="null3"/>
                    <w:spacing w:after="165"/>
                    <w:ind w:firstLine="420"/>
                    <w:jc w:val="both"/>
                  </w:pPr>
                  <w:r>
                    <w:rPr>
                      <w:rFonts w:ascii="仿宋_GB2312" w:hAnsi="仿宋_GB2312" w:cs="仿宋_GB2312" w:eastAsia="仿宋_GB2312"/>
                      <w:sz w:val="21"/>
                    </w:rPr>
                    <w:t>本次需完成非税系统与交警二次对账系统对接，解决群众已完成缴款无法及时消除违章的“退付难”问题，实现正常缴款违章业务应消尽消、异常缴款的缴款业务应退尽退。</w:t>
                  </w:r>
                </w:p>
                <w:p>
                  <w:pPr>
                    <w:pStyle w:val="null3"/>
                    <w:spacing w:after="165"/>
                    <w:ind w:firstLine="420"/>
                    <w:jc w:val="both"/>
                  </w:pPr>
                  <w:r>
                    <w:rPr>
                      <w:rFonts w:ascii="仿宋_GB2312" w:hAnsi="仿宋_GB2312" w:cs="仿宋_GB2312" w:eastAsia="仿宋_GB2312"/>
                      <w:sz w:val="21"/>
                      <w:color w:val="993300"/>
                    </w:rPr>
                    <w:t>（四）财政专户管理资金数据对接</w:t>
                  </w:r>
                </w:p>
                <w:p>
                  <w:pPr>
                    <w:pStyle w:val="null3"/>
                    <w:spacing w:after="165"/>
                    <w:ind w:firstLine="420"/>
                    <w:jc w:val="both"/>
                  </w:pPr>
                  <w:r>
                    <w:rPr>
                      <w:rFonts w:ascii="仿宋_GB2312" w:hAnsi="仿宋_GB2312" w:cs="仿宋_GB2312" w:eastAsia="仿宋_GB2312"/>
                      <w:sz w:val="21"/>
                    </w:rPr>
                    <w:t>本次应实现教育收费资金，通过非税暨票据管理一体化系统缴入陕西省非税收入待解缴科目账户，再按照财政划拨指令划转至指定的财政专户。完成非税专户收入信息推送给预算一体化系统，用于支撑预算编制、预算执行、会计核算等环节标准规范的业务流程建设，实现教育专户资金收缴、审批、核算全流程线上一体化管理。</w:t>
                  </w:r>
                </w:p>
                <w:p>
                  <w:pPr>
                    <w:pStyle w:val="null3"/>
                    <w:spacing w:after="165"/>
                    <w:ind w:firstLine="420"/>
                    <w:jc w:val="both"/>
                  </w:pPr>
                  <w:r>
                    <w:rPr>
                      <w:rFonts w:ascii="仿宋_GB2312" w:hAnsi="仿宋_GB2312" w:cs="仿宋_GB2312" w:eastAsia="仿宋_GB2312"/>
                      <w:sz w:val="21"/>
                      <w:color w:val="993300"/>
                    </w:rPr>
                    <w:t>（五）电子凭证库</w:t>
                  </w:r>
                </w:p>
                <w:p>
                  <w:pPr>
                    <w:pStyle w:val="null3"/>
                    <w:spacing w:after="165"/>
                    <w:ind w:firstLine="420"/>
                    <w:jc w:val="both"/>
                  </w:pPr>
                  <w:r>
                    <w:rPr>
                      <w:rFonts w:ascii="仿宋_GB2312" w:hAnsi="仿宋_GB2312" w:cs="仿宋_GB2312" w:eastAsia="仿宋_GB2312"/>
                      <w:sz w:val="21"/>
                    </w:rPr>
                    <w:t>非税收入缴库电子化复用成熟的国库集中支付电子化通道。参与实施非税收入缴库电子化管理业务的各方无需再重复部署电子化安全支撑体系相关软硬件设备，财政和人民银行只需进行衔接改造，联调测试。</w:t>
                  </w:r>
                </w:p>
                <w:p>
                  <w:pPr>
                    <w:pStyle w:val="null3"/>
                    <w:spacing w:after="165"/>
                    <w:ind w:firstLine="420"/>
                    <w:jc w:val="both"/>
                  </w:pPr>
                  <w:r>
                    <w:rPr>
                      <w:rFonts w:ascii="仿宋_GB2312" w:hAnsi="仿宋_GB2312" w:cs="仿宋_GB2312" w:eastAsia="仿宋_GB2312"/>
                      <w:sz w:val="21"/>
                    </w:rPr>
                    <w:t>实现缴库业务的电子化管理，各方可直接使用存储在己方电子凭证库中的相关凭证作为记账依据。满足财政与人民银行账务按日核对工作需要，确保交易信息和财政资金的一致性、完整性。</w:t>
                  </w:r>
                </w:p>
                <w:p>
                  <w:pPr>
                    <w:pStyle w:val="null3"/>
                    <w:spacing w:after="165"/>
                    <w:ind w:firstLine="420"/>
                    <w:jc w:val="both"/>
                  </w:pPr>
                  <w:r>
                    <w:rPr>
                      <w:rFonts w:ascii="仿宋_GB2312" w:hAnsi="仿宋_GB2312" w:cs="仿宋_GB2312" w:eastAsia="仿宋_GB2312"/>
                      <w:sz w:val="21"/>
                    </w:rPr>
                    <w:t>提高非税收入缴库资金的安全性、及时性。通过电子凭证库，建立财政、人民银行双方信息化枢纽，保证电子化单据传递的安全，尽可能提高非税资金缴库速度。</w:t>
                  </w:r>
                </w:p>
                <w:p>
                  <w:pPr>
                    <w:pStyle w:val="null3"/>
                    <w:spacing w:after="165"/>
                    <w:ind w:firstLine="420"/>
                    <w:jc w:val="both"/>
                  </w:pPr>
                  <w:r>
                    <w:rPr>
                      <w:rFonts w:ascii="仿宋_GB2312" w:hAnsi="仿宋_GB2312" w:cs="仿宋_GB2312" w:eastAsia="仿宋_GB2312"/>
                      <w:sz w:val="21"/>
                    </w:rPr>
                    <w:t>通过电子凭证库办理非税收入电子化缴库业务，包含缴库、退库、更正（调库）、日终对账等场景，需支持通过预算管理一体化系统调用电子凭证库与人民银行发送凭证和明细，并收取回执，实现全流程电子化。</w:t>
                  </w:r>
                </w:p>
                <w:p>
                  <w:pPr>
                    <w:pStyle w:val="null3"/>
                    <w:spacing w:after="165"/>
                    <w:ind w:firstLine="420"/>
                    <w:jc w:val="both"/>
                  </w:pPr>
                  <w:r>
                    <w:rPr>
                      <w:rFonts w:ascii="仿宋_GB2312" w:hAnsi="仿宋_GB2312" w:cs="仿宋_GB2312" w:eastAsia="仿宋_GB2312"/>
                      <w:sz w:val="21"/>
                      <w:color w:val="993300"/>
                    </w:rPr>
                    <w:t>（六）电子签章</w:t>
                  </w:r>
                </w:p>
                <w:p>
                  <w:pPr>
                    <w:pStyle w:val="null3"/>
                    <w:spacing w:after="165"/>
                    <w:ind w:firstLine="420"/>
                    <w:jc w:val="both"/>
                  </w:pPr>
                  <w:r>
                    <w:rPr>
                      <w:rFonts w:ascii="仿宋_GB2312" w:hAnsi="仿宋_GB2312" w:cs="仿宋_GB2312" w:eastAsia="仿宋_GB2312"/>
                      <w:sz w:val="21"/>
                    </w:rPr>
                    <w:t>签章服务采用电子签章技术，将印章持有人的数字签名认证证书与其管理的实物印章图像有效绑定，可支持电子印章的制作、发放、挂失和更换等处理，并可依据管理需要，按国家安全部门认可的控制规范进行盖章、验章等，实现了电子凭证的数字签名和纸质凭证的印章之间的对应处理。电子凭证库可通过标准化接口调用电子签章管理相关功能实现对电子凭证的验章、盖章等处理。通过与财政部认可的身份认证服务器进行衔接，完成数字证书鉴别的功能。</w:t>
                  </w:r>
                </w:p>
                <w:p>
                  <w:pPr>
                    <w:pStyle w:val="null3"/>
                    <w:spacing w:after="165"/>
                    <w:ind w:firstLine="420"/>
                    <w:jc w:val="both"/>
                  </w:pPr>
                  <w:r>
                    <w:rPr>
                      <w:rFonts w:ascii="仿宋_GB2312" w:hAnsi="仿宋_GB2312" w:cs="仿宋_GB2312" w:eastAsia="仿宋_GB2312"/>
                      <w:sz w:val="21"/>
                      <w:color w:val="993300"/>
                    </w:rPr>
                    <w:t>（七）陕西省财政非税直缴电子化项目人行端需求</w:t>
                  </w:r>
                </w:p>
                <w:p>
                  <w:pPr>
                    <w:pStyle w:val="null3"/>
                    <w:spacing w:after="165"/>
                    <w:ind w:firstLine="420"/>
                    <w:jc w:val="both"/>
                  </w:pPr>
                  <w:r>
                    <w:rPr>
                      <w:rFonts w:ascii="仿宋_GB2312" w:hAnsi="仿宋_GB2312" w:cs="仿宋_GB2312" w:eastAsia="仿宋_GB2312"/>
                      <w:sz w:val="21"/>
                    </w:rPr>
                    <w:t>按照陕西省财政厅有关电子化支付联网项目及人民银行国库信息化建设的要求，目前已经在陕西省财政厅、人民银行陕西省分行、非税代理银行分别对等部署了电子凭证库系统，用于三方之间财政非税业务凭证的无纸化传输。</w:t>
                  </w:r>
                </w:p>
                <w:p>
                  <w:pPr>
                    <w:pStyle w:val="null3"/>
                    <w:spacing w:after="165"/>
                    <w:ind w:firstLine="420"/>
                    <w:jc w:val="both"/>
                  </w:pPr>
                  <w:r>
                    <w:rPr>
                      <w:rFonts w:ascii="仿宋_GB2312" w:hAnsi="仿宋_GB2312" w:cs="仿宋_GB2312" w:eastAsia="仿宋_GB2312"/>
                      <w:sz w:val="21"/>
                    </w:rPr>
                    <w:t>财政部门、人民银行国库部门、商业银行代理库配合做好财政非税收入的入库工作，通过财政非税征缴系统、人行端国库（含人民银行国库、商业银行代理库，下同）前置系统改造，实现与人行端电子凭证库系统的无缝对接，并与国库信息处理系统（TIPS）对接，将非税业务相关数据传输至人行端国库会计核算系统中，并实现非税凭证回单电子化，最终实现非税业务全流程电子化，切实提高国库业务信息化管理水平。</w:t>
                  </w:r>
                </w:p>
                <w:p>
                  <w:pPr>
                    <w:pStyle w:val="null3"/>
                    <w:spacing w:after="165"/>
                    <w:ind w:firstLine="420"/>
                    <w:jc w:val="both"/>
                  </w:pPr>
                  <w:r>
                    <w:rPr>
                      <w:rFonts w:ascii="仿宋_GB2312" w:hAnsi="仿宋_GB2312" w:cs="仿宋_GB2312" w:eastAsia="仿宋_GB2312"/>
                      <w:sz w:val="21"/>
                    </w:rPr>
                    <w:t>本次非税收入电子化缴库业务人行端建设，包含缴库、退库、更正（调库）、日终对账等业务场景，人民银行接到财政缴库、退库、更正（调库）指令后，完成人行端业务办理并将凭证回单通过电子凭证库发送至财政部门。日终，通过电子凭证库向财政部门发送非税收入电子凭证日报表收支余明细，用于核对通过电子凭证库办理的缴库、退库、更库业务的账务信息；发送非税收入各征收渠道日报表收支余明细，用于核对各科目当日通过税务部门代征缴库、电子凭证库缴库、就地缴库等各缴库渠道收缴的非税收入信息。</w:t>
                  </w:r>
                </w:p>
                <w:p>
                  <w:pPr>
                    <w:pStyle w:val="null3"/>
                    <w:numPr>
                      <w:ilvl w:val="0"/>
                      <w:numId w:val="1"/>
                    </w:numPr>
                  </w:pPr>
                  <w:r>
                    <w:rPr>
                      <w:rFonts w:ascii="仿宋_GB2312" w:hAnsi="仿宋_GB2312" w:cs="仿宋_GB2312" w:eastAsia="仿宋_GB2312"/>
                      <w:sz w:val="21"/>
                      <w:b/>
                    </w:rPr>
                    <w:t>功能需求</w:t>
                  </w:r>
                </w:p>
                <w:p>
                  <w:pPr>
                    <w:pStyle w:val="null3"/>
                    <w:spacing w:after="165"/>
                    <w:ind w:firstLine="420"/>
                    <w:jc w:val="both"/>
                  </w:pPr>
                  <w:r>
                    <w:rPr>
                      <w:rFonts w:ascii="仿宋_GB2312" w:hAnsi="仿宋_GB2312" w:cs="仿宋_GB2312" w:eastAsia="仿宋_GB2312"/>
                      <w:sz w:val="21"/>
                      <w:color w:val="993300"/>
                    </w:rPr>
                    <w:t>（一）电子缴款书功能</w:t>
                  </w:r>
                </w:p>
                <w:p>
                  <w:pPr>
                    <w:pStyle w:val="null3"/>
                    <w:spacing w:after="165"/>
                    <w:ind w:firstLine="420"/>
                    <w:jc w:val="both"/>
                  </w:pPr>
                  <w:r>
                    <w:rPr>
                      <w:rFonts w:ascii="仿宋_GB2312" w:hAnsi="仿宋_GB2312" w:cs="仿宋_GB2312" w:eastAsia="仿宋_GB2312"/>
                      <w:sz w:val="21"/>
                    </w:rPr>
                    <w:t>本次建设应实现非税收入一般缴款书（电子）相关功能。包含：电子缴款书票据种类管理、电子缴款书票据模板管理、票据挂接、电子缴款书票据申领、电子缴款书票据入库、电子缴款书赋码管理、电子缴款书票据发放、电子缴款书申退、电子缴款书开具、电子缴款书交付、电子缴款书审验、电子缴款书归档、电子缴款书报表查询、电子缴款书库存不足预警、电子缴款书系统参数设置、电子缴款书切换兼容性改造、电子缴款书通过我省财政电子票据公共服务平台查验功能。</w:t>
                  </w:r>
                </w:p>
                <w:p>
                  <w:pPr>
                    <w:pStyle w:val="null3"/>
                    <w:spacing w:after="165"/>
                    <w:ind w:firstLine="420"/>
                    <w:jc w:val="both"/>
                  </w:pPr>
                  <w:r>
                    <w:rPr>
                      <w:rFonts w:ascii="仿宋_GB2312" w:hAnsi="仿宋_GB2312" w:cs="仿宋_GB2312" w:eastAsia="仿宋_GB2312"/>
                      <w:sz w:val="21"/>
                      <w:color w:val="993300"/>
                    </w:rPr>
                    <w:t>（二）非税收入电子化缴库功能</w:t>
                  </w:r>
                </w:p>
                <w:p>
                  <w:pPr>
                    <w:pStyle w:val="null3"/>
                    <w:spacing w:after="165"/>
                    <w:ind w:firstLine="420"/>
                    <w:jc w:val="both"/>
                  </w:pPr>
                  <w:r>
                    <w:rPr>
                      <w:rFonts w:ascii="仿宋_GB2312" w:hAnsi="仿宋_GB2312" w:cs="仿宋_GB2312" w:eastAsia="仿宋_GB2312"/>
                      <w:sz w:val="21"/>
                    </w:rPr>
                    <w:t>本次建设应实现非税收入电子化缴库功能。包含：基础设置、清分设置、收缴管控、收缴方式管理、缴库单回单登记、缴库管理、更正调库管理、调度任务、财政缴库综合查询、单位退库申请、单位退库审核、退付申请、退付申请审核、单位缴库查询、预算一体化系统分堆凭证改造、预算一体化系统-非税缴库管理、预算一体化系统-非税退库管理、预算一体化系统-非税调库管理功能、电子化缴库与预算一体化系统数据交互、电子化退库与预算一体化系统数据交互、更正调库与预算一体化系统数据交互、日终对账与预算一体化系统对接数据交互、预算一体化系统-非税收入电子化缴库日终对账、预算一体化系统-缴库报表功能。</w:t>
                  </w:r>
                </w:p>
                <w:p>
                  <w:pPr>
                    <w:pStyle w:val="null3"/>
                    <w:spacing w:after="165"/>
                    <w:ind w:firstLine="420"/>
                    <w:jc w:val="both"/>
                  </w:pPr>
                  <w:r>
                    <w:rPr>
                      <w:rFonts w:ascii="仿宋_GB2312" w:hAnsi="仿宋_GB2312" w:cs="仿宋_GB2312" w:eastAsia="仿宋_GB2312"/>
                      <w:sz w:val="21"/>
                      <w:color w:val="993300"/>
                    </w:rPr>
                    <w:t>（三）全省交通违法缴款二次对账功能</w:t>
                  </w:r>
                </w:p>
                <w:p>
                  <w:pPr>
                    <w:pStyle w:val="null3"/>
                    <w:spacing w:after="165"/>
                    <w:ind w:firstLine="420"/>
                    <w:jc w:val="both"/>
                  </w:pPr>
                  <w:r>
                    <w:rPr>
                      <w:rFonts w:ascii="仿宋_GB2312" w:hAnsi="仿宋_GB2312" w:cs="仿宋_GB2312" w:eastAsia="仿宋_GB2312"/>
                      <w:sz w:val="21"/>
                    </w:rPr>
                    <w:t>本次建设应实现全省交通违法缴款二次对账功能。包含：缴款清单数据、退款清单数据推送功能，以及交警二次对账接口数据查询、资金退付、资金退付通知、资金退付实时查询功能。</w:t>
                  </w:r>
                </w:p>
                <w:p>
                  <w:pPr>
                    <w:pStyle w:val="null3"/>
                    <w:spacing w:after="165"/>
                    <w:ind w:firstLine="420"/>
                    <w:jc w:val="both"/>
                  </w:pPr>
                  <w:r>
                    <w:rPr>
                      <w:rFonts w:ascii="仿宋_GB2312" w:hAnsi="仿宋_GB2312" w:cs="仿宋_GB2312" w:eastAsia="仿宋_GB2312"/>
                      <w:sz w:val="21"/>
                      <w:color w:val="993300"/>
                    </w:rPr>
                    <w:t>（四）财政专户管理资金数据对接</w:t>
                  </w:r>
                </w:p>
                <w:p>
                  <w:pPr>
                    <w:pStyle w:val="null3"/>
                    <w:spacing w:after="165"/>
                    <w:ind w:firstLine="420"/>
                    <w:jc w:val="both"/>
                  </w:pPr>
                  <w:r>
                    <w:rPr>
                      <w:rFonts w:ascii="仿宋_GB2312" w:hAnsi="仿宋_GB2312" w:cs="仿宋_GB2312" w:eastAsia="仿宋_GB2312"/>
                      <w:sz w:val="21"/>
                    </w:rPr>
                    <w:t>本次建设应实现财政专户资金数据对接功能。包含：基础信息对照功能，以及非税收入信息表、非税清分信息表、非税缴库信息表、非税收入项目表、单位项目信息表、代理银行信息表数据推送功能。</w:t>
                  </w:r>
                </w:p>
                <w:p>
                  <w:pPr>
                    <w:pStyle w:val="null3"/>
                    <w:spacing w:after="165"/>
                    <w:ind w:firstLine="420"/>
                    <w:jc w:val="both"/>
                  </w:pPr>
                  <w:r>
                    <w:rPr>
                      <w:rFonts w:ascii="仿宋_GB2312" w:hAnsi="仿宋_GB2312" w:cs="仿宋_GB2312" w:eastAsia="仿宋_GB2312"/>
                      <w:sz w:val="21"/>
                      <w:color w:val="993300"/>
                    </w:rPr>
                    <w:t>（五）电子凭证库</w:t>
                  </w:r>
                </w:p>
                <w:p>
                  <w:pPr>
                    <w:pStyle w:val="null3"/>
                    <w:spacing w:after="165"/>
                    <w:ind w:firstLine="420"/>
                    <w:jc w:val="both"/>
                  </w:pPr>
                  <w:r>
                    <w:rPr>
                      <w:rFonts w:ascii="仿宋_GB2312" w:hAnsi="仿宋_GB2312" w:cs="仿宋_GB2312" w:eastAsia="仿宋_GB2312"/>
                      <w:sz w:val="21"/>
                    </w:rPr>
                    <w:t>电子凭证库完成全省区划制作和配置一般缴款书凭证、收入入库流水凭证、库存日报凭证、收入退库凭证、收入退库退款通知书凭证、更正（调库）凭证的电子凭证模板。实现非税收入缴库、退库、更正（调库）、日终对账业务的电子单据管理。通过预算管理一体化系统调用电子凭证库与人民银行发送业务凭证和明细，并收取回执。通过财政、人民银行及代理银行间业务联调测试实现非税收入缴库业务全流程电子化管理，确保交易信息和财政资金的一致性、完整性、及时性。</w:t>
                  </w:r>
                </w:p>
                <w:p>
                  <w:pPr>
                    <w:pStyle w:val="null3"/>
                    <w:spacing w:after="165"/>
                    <w:ind w:firstLine="420"/>
                    <w:jc w:val="both"/>
                  </w:pPr>
                  <w:r>
                    <w:rPr>
                      <w:rFonts w:ascii="仿宋_GB2312" w:hAnsi="仿宋_GB2312" w:cs="仿宋_GB2312" w:eastAsia="仿宋_GB2312"/>
                      <w:sz w:val="21"/>
                      <w:color w:val="993300"/>
                    </w:rPr>
                    <w:t>（六）电子签章</w:t>
                  </w:r>
                </w:p>
                <w:p>
                  <w:pPr>
                    <w:pStyle w:val="null3"/>
                    <w:spacing w:after="165"/>
                    <w:ind w:firstLine="420"/>
                    <w:jc w:val="both"/>
                  </w:pPr>
                  <w:r>
                    <w:rPr>
                      <w:rFonts w:ascii="仿宋_GB2312" w:hAnsi="仿宋_GB2312" w:cs="仿宋_GB2312" w:eastAsia="仿宋_GB2312"/>
                      <w:sz w:val="21"/>
                    </w:rPr>
                    <w:t>采集全省区划财政部门非税收入缴库电子化业务所需实物印章图像并制作电子印章，将印章持有人的数字签名认证证书与其管理的电子印章有效绑定，同时支持电子印章作废、授权、授权变更等处理。电子凭证库可通过标准化接口调用电子签章管理相关功能实现对电子凭证的验章、盖章等处理，并与签名服务器衔接完成数字证书鉴别。</w:t>
                  </w:r>
                </w:p>
                <w:p>
                  <w:pPr>
                    <w:pStyle w:val="null3"/>
                    <w:spacing w:after="165"/>
                    <w:ind w:firstLine="420"/>
                    <w:jc w:val="both"/>
                  </w:pPr>
                  <w:r>
                    <w:rPr>
                      <w:rFonts w:ascii="仿宋_GB2312" w:hAnsi="仿宋_GB2312" w:cs="仿宋_GB2312" w:eastAsia="仿宋_GB2312"/>
                      <w:sz w:val="21"/>
                      <w:color w:val="993300"/>
                    </w:rPr>
                    <w:t>（七）陕西省财政非税直缴电子化项目人行端功能</w:t>
                  </w:r>
                </w:p>
                <w:p>
                  <w:pPr>
                    <w:pStyle w:val="null3"/>
                    <w:ind w:firstLine="420"/>
                    <w:jc w:val="both"/>
                  </w:pPr>
                  <w:r>
                    <w:rPr>
                      <w:rFonts w:ascii="仿宋_GB2312" w:hAnsi="仿宋_GB2312" w:cs="仿宋_GB2312" w:eastAsia="仿宋_GB2312"/>
                      <w:sz w:val="21"/>
                    </w:rPr>
                    <w:t>1、一般缴款书签收</w:t>
                  </w:r>
                </w:p>
                <w:p>
                  <w:pPr>
                    <w:pStyle w:val="null3"/>
                    <w:ind w:firstLine="420"/>
                    <w:jc w:val="both"/>
                  </w:pPr>
                  <w:r>
                    <w:rPr>
                      <w:rFonts w:ascii="仿宋_GB2312" w:hAnsi="仿宋_GB2312" w:cs="仿宋_GB2312" w:eastAsia="仿宋_GB2312"/>
                      <w:sz w:val="21"/>
                    </w:rPr>
                    <w:t>人民银行无纸化前置系统分别签收来自财政和代理银行的一般缴款书（5408）电子凭证。主要包括如下功能：</w:t>
                  </w:r>
                </w:p>
                <w:p>
                  <w:pPr>
                    <w:pStyle w:val="null3"/>
                    <w:ind w:firstLine="420"/>
                    <w:jc w:val="both"/>
                  </w:pPr>
                  <w:r>
                    <w:rPr>
                      <w:rFonts w:ascii="仿宋_GB2312" w:hAnsi="仿宋_GB2312" w:cs="仿宋_GB2312" w:eastAsia="仿宋_GB2312"/>
                      <w:sz w:val="21"/>
                    </w:rPr>
                    <w:t>一般缴款书（财政发）签收：完成财政发送的一般缴款书（5408）电子凭证签收；</w:t>
                  </w:r>
                </w:p>
                <w:p>
                  <w:pPr>
                    <w:pStyle w:val="null3"/>
                    <w:ind w:firstLine="420"/>
                    <w:jc w:val="both"/>
                  </w:pPr>
                  <w:r>
                    <w:rPr>
                      <w:rFonts w:ascii="仿宋_GB2312" w:hAnsi="仿宋_GB2312" w:cs="仿宋_GB2312" w:eastAsia="仿宋_GB2312"/>
                      <w:sz w:val="21"/>
                    </w:rPr>
                    <w:t>一般缴款书（代理银行发）签收：代理银行完成缴库后，向人民银行发送一般缴款书（5408）电子凭证，人民银行通过此功能完成签收；</w:t>
                  </w:r>
                </w:p>
                <w:p>
                  <w:pPr>
                    <w:pStyle w:val="null3"/>
                    <w:ind w:firstLine="420"/>
                    <w:jc w:val="both"/>
                  </w:pPr>
                  <w:r>
                    <w:rPr>
                      <w:rFonts w:ascii="仿宋_GB2312" w:hAnsi="仿宋_GB2312" w:cs="仿宋_GB2312" w:eastAsia="仿宋_GB2312"/>
                      <w:sz w:val="21"/>
                    </w:rPr>
                    <w:t>2、一般缴款书回单生成</w:t>
                  </w:r>
                </w:p>
                <w:p>
                  <w:pPr>
                    <w:pStyle w:val="null3"/>
                    <w:ind w:firstLine="420"/>
                    <w:jc w:val="both"/>
                  </w:pPr>
                  <w:r>
                    <w:rPr>
                      <w:rFonts w:ascii="仿宋_GB2312" w:hAnsi="仿宋_GB2312" w:cs="仿宋_GB2312" w:eastAsia="仿宋_GB2312"/>
                      <w:sz w:val="21"/>
                    </w:rPr>
                    <w:t>人民银行在确认已收到代理银行相应缴库资金后，进行缴库确认及金库会计核算，并生成一般缴款书（5408）回单电子凭证。</w:t>
                  </w:r>
                </w:p>
                <w:p>
                  <w:pPr>
                    <w:pStyle w:val="null3"/>
                    <w:ind w:firstLine="420"/>
                    <w:jc w:val="both"/>
                  </w:pPr>
                  <w:r>
                    <w:rPr>
                      <w:rFonts w:ascii="仿宋_GB2312" w:hAnsi="仿宋_GB2312" w:cs="仿宋_GB2312" w:eastAsia="仿宋_GB2312"/>
                      <w:sz w:val="21"/>
                    </w:rPr>
                    <w:t>主要包括如下功能：</w:t>
                  </w:r>
                </w:p>
                <w:p>
                  <w:pPr>
                    <w:pStyle w:val="null3"/>
                    <w:ind w:firstLine="420"/>
                    <w:jc w:val="both"/>
                  </w:pPr>
                  <w:r>
                    <w:rPr>
                      <w:rFonts w:ascii="仿宋_GB2312" w:hAnsi="仿宋_GB2312" w:cs="仿宋_GB2312" w:eastAsia="仿宋_GB2312"/>
                      <w:sz w:val="21"/>
                    </w:rPr>
                    <w:t>一般缴款书回单生成：根据已完成缴库确认的一般缴款书生成一般缴款书（5408）回单电子凭证。</w:t>
                  </w:r>
                </w:p>
                <w:p>
                  <w:pPr>
                    <w:pStyle w:val="null3"/>
                    <w:ind w:firstLine="420"/>
                    <w:jc w:val="both"/>
                  </w:pPr>
                  <w:r>
                    <w:rPr>
                      <w:rFonts w:ascii="仿宋_GB2312" w:hAnsi="仿宋_GB2312" w:cs="仿宋_GB2312" w:eastAsia="仿宋_GB2312"/>
                      <w:sz w:val="21"/>
                    </w:rPr>
                    <w:t>3、一般缴款书回单签章发送</w:t>
                  </w:r>
                </w:p>
                <w:p>
                  <w:pPr>
                    <w:pStyle w:val="null3"/>
                    <w:ind w:firstLine="420"/>
                    <w:jc w:val="both"/>
                  </w:pPr>
                  <w:r>
                    <w:rPr>
                      <w:rFonts w:ascii="仿宋_GB2312" w:hAnsi="仿宋_GB2312" w:cs="仿宋_GB2312" w:eastAsia="仿宋_GB2312"/>
                      <w:sz w:val="21"/>
                    </w:rPr>
                    <w:t>人民银行在生成一般缴款书回单后，加盖人民银行电子印章后，通过人民银行端电子凭证库同时发送给代理银行和财政。</w:t>
                  </w:r>
                </w:p>
                <w:p>
                  <w:pPr>
                    <w:pStyle w:val="null3"/>
                    <w:ind w:firstLine="420"/>
                    <w:jc w:val="both"/>
                  </w:pPr>
                  <w:r>
                    <w:rPr>
                      <w:rFonts w:ascii="仿宋_GB2312" w:hAnsi="仿宋_GB2312" w:cs="仿宋_GB2312" w:eastAsia="仿宋_GB2312"/>
                      <w:sz w:val="21"/>
                    </w:rPr>
                    <w:t>主要包括如下功能：</w:t>
                  </w:r>
                </w:p>
                <w:p>
                  <w:pPr>
                    <w:pStyle w:val="null3"/>
                    <w:ind w:firstLine="420"/>
                    <w:jc w:val="both"/>
                  </w:pPr>
                  <w:r>
                    <w:rPr>
                      <w:rFonts w:ascii="仿宋_GB2312" w:hAnsi="仿宋_GB2312" w:cs="仿宋_GB2312" w:eastAsia="仿宋_GB2312"/>
                      <w:sz w:val="21"/>
                    </w:rPr>
                    <w:t>一般缴款书回单签章发送：对已生成的一般缴款书（5408）回单电子凭证，完成电子印章的加盖和回单的发送操作。</w:t>
                  </w:r>
                </w:p>
                <w:p>
                  <w:pPr>
                    <w:pStyle w:val="null3"/>
                    <w:ind w:firstLine="420"/>
                    <w:jc w:val="both"/>
                  </w:pPr>
                  <w:r>
                    <w:rPr>
                      <w:rFonts w:ascii="仿宋_GB2312" w:hAnsi="仿宋_GB2312" w:cs="仿宋_GB2312" w:eastAsia="仿宋_GB2312"/>
                      <w:sz w:val="21"/>
                    </w:rPr>
                    <w:t>4、收入退付处理</w:t>
                  </w:r>
                </w:p>
                <w:p>
                  <w:pPr>
                    <w:pStyle w:val="null3"/>
                    <w:ind w:firstLine="420"/>
                    <w:jc w:val="both"/>
                  </w:pPr>
                  <w:r>
                    <w:rPr>
                      <w:rFonts w:ascii="仿宋_GB2312" w:hAnsi="仿宋_GB2312" w:cs="仿宋_GB2312" w:eastAsia="仿宋_GB2312"/>
                      <w:sz w:val="21"/>
                    </w:rPr>
                    <w:t>当发生从国库进行收入退付业务时，人民银行签收财政发送的退付凭证，并在完成资金退付后，进行向财政发送退付凭证回单。</w:t>
                  </w:r>
                </w:p>
                <w:p>
                  <w:pPr>
                    <w:pStyle w:val="null3"/>
                    <w:ind w:firstLine="420"/>
                    <w:jc w:val="both"/>
                  </w:pPr>
                  <w:r>
                    <w:rPr>
                      <w:rFonts w:ascii="仿宋_GB2312" w:hAnsi="仿宋_GB2312" w:cs="仿宋_GB2312" w:eastAsia="仿宋_GB2312"/>
                      <w:sz w:val="21"/>
                    </w:rPr>
                    <w:t>收入退付管理功能主要包括：</w:t>
                  </w:r>
                </w:p>
                <w:p>
                  <w:pPr>
                    <w:pStyle w:val="null3"/>
                    <w:ind w:firstLine="420"/>
                    <w:jc w:val="both"/>
                  </w:pPr>
                  <w:r>
                    <w:rPr>
                      <w:rFonts w:ascii="仿宋_GB2312" w:hAnsi="仿宋_GB2312" w:cs="仿宋_GB2312" w:eastAsia="仿宋_GB2312"/>
                      <w:sz w:val="21"/>
                    </w:rPr>
                    <w:t>退付凭证签收：完成财政发送的退付凭证签收；</w:t>
                  </w:r>
                </w:p>
                <w:p>
                  <w:pPr>
                    <w:pStyle w:val="null3"/>
                    <w:ind w:firstLine="420"/>
                    <w:jc w:val="both"/>
                  </w:pPr>
                  <w:r>
                    <w:rPr>
                      <w:rFonts w:ascii="仿宋_GB2312" w:hAnsi="仿宋_GB2312" w:cs="仿宋_GB2312" w:eastAsia="仿宋_GB2312"/>
                      <w:sz w:val="21"/>
                    </w:rPr>
                    <w:t>退付凭证回单生成：在完成资金退付后，根据退付凭证关联生成退房凭证回单；</w:t>
                  </w:r>
                </w:p>
                <w:p>
                  <w:pPr>
                    <w:pStyle w:val="null3"/>
                    <w:ind w:firstLine="420"/>
                    <w:jc w:val="both"/>
                  </w:pPr>
                  <w:r>
                    <w:rPr>
                      <w:rFonts w:ascii="仿宋_GB2312" w:hAnsi="仿宋_GB2312" w:cs="仿宋_GB2312" w:eastAsia="仿宋_GB2312"/>
                      <w:sz w:val="21"/>
                    </w:rPr>
                    <w:t>回单签章、发送：对已生成且完成资金退付操作的退付凭证回单进行电子印章的加盖和发送操作</w:t>
                  </w:r>
                </w:p>
                <w:p>
                  <w:pPr>
                    <w:pStyle w:val="null3"/>
                    <w:ind w:firstLine="420"/>
                    <w:jc w:val="both"/>
                  </w:pPr>
                  <w:r>
                    <w:rPr>
                      <w:rFonts w:ascii="仿宋_GB2312" w:hAnsi="仿宋_GB2312" w:cs="仿宋_GB2312" w:eastAsia="仿宋_GB2312"/>
                      <w:sz w:val="21"/>
                    </w:rPr>
                    <w:t>查询：退付凭证、退付凭证回单查询。</w:t>
                  </w:r>
                </w:p>
                <w:p>
                  <w:pPr>
                    <w:pStyle w:val="null3"/>
                    <w:ind w:firstLine="420"/>
                    <w:jc w:val="both"/>
                  </w:pPr>
                  <w:r>
                    <w:rPr>
                      <w:rFonts w:ascii="仿宋_GB2312" w:hAnsi="仿宋_GB2312" w:cs="仿宋_GB2312" w:eastAsia="仿宋_GB2312"/>
                      <w:sz w:val="21"/>
                    </w:rPr>
                    <w:t>5、更正（调库）通知书管理</w:t>
                  </w:r>
                </w:p>
                <w:p>
                  <w:pPr>
                    <w:pStyle w:val="null3"/>
                    <w:ind w:firstLine="420"/>
                    <w:jc w:val="both"/>
                  </w:pPr>
                  <w:r>
                    <w:rPr>
                      <w:rFonts w:ascii="仿宋_GB2312" w:hAnsi="仿宋_GB2312" w:cs="仿宋_GB2312" w:eastAsia="仿宋_GB2312"/>
                      <w:sz w:val="21"/>
                    </w:rPr>
                    <w:t>实现更正（调库）通知书管理各项功能，主要包括：</w:t>
                  </w:r>
                </w:p>
                <w:p>
                  <w:pPr>
                    <w:pStyle w:val="null3"/>
                    <w:ind w:firstLine="420"/>
                    <w:jc w:val="both"/>
                  </w:pPr>
                  <w:r>
                    <w:rPr>
                      <w:rFonts w:ascii="仿宋_GB2312" w:hAnsi="仿宋_GB2312" w:cs="仿宋_GB2312" w:eastAsia="仿宋_GB2312"/>
                      <w:sz w:val="21"/>
                    </w:rPr>
                    <w:t>更正（调库）通知书签收：在收到财政发送的更正（调库）通知书后，完成通知书的签收操作。</w:t>
                  </w:r>
                </w:p>
                <w:p>
                  <w:pPr>
                    <w:pStyle w:val="null3"/>
                    <w:ind w:firstLine="420"/>
                    <w:jc w:val="both"/>
                  </w:pPr>
                  <w:r>
                    <w:rPr>
                      <w:rFonts w:ascii="仿宋_GB2312" w:hAnsi="仿宋_GB2312" w:cs="仿宋_GB2312" w:eastAsia="仿宋_GB2312"/>
                      <w:sz w:val="21"/>
                    </w:rPr>
                    <w:t>更正（调库）通知书回单生成：在完成完成更正（调库）操作后，根据更正（调库）通知书关联生成更正（调库）通知书回单；</w:t>
                  </w:r>
                </w:p>
                <w:p>
                  <w:pPr>
                    <w:pStyle w:val="null3"/>
                    <w:ind w:firstLine="420"/>
                    <w:jc w:val="both"/>
                  </w:pPr>
                  <w:r>
                    <w:rPr>
                      <w:rFonts w:ascii="仿宋_GB2312" w:hAnsi="仿宋_GB2312" w:cs="仿宋_GB2312" w:eastAsia="仿宋_GB2312"/>
                      <w:sz w:val="21"/>
                    </w:rPr>
                    <w:t>回单签章、发送：对已完成更正操作的更正（调库）通知书回单进行电子印章的加盖和发送操作；</w:t>
                  </w:r>
                </w:p>
                <w:p>
                  <w:pPr>
                    <w:pStyle w:val="null3"/>
                    <w:ind w:firstLine="420"/>
                    <w:jc w:val="both"/>
                  </w:pPr>
                  <w:r>
                    <w:rPr>
                      <w:rFonts w:ascii="仿宋_GB2312" w:hAnsi="仿宋_GB2312" w:cs="仿宋_GB2312" w:eastAsia="仿宋_GB2312"/>
                      <w:sz w:val="21"/>
                    </w:rPr>
                    <w:t>查询：更正（调库）通知书、更正（调库）通知书回单查询。</w:t>
                  </w:r>
                </w:p>
                <w:p>
                  <w:pPr>
                    <w:pStyle w:val="null3"/>
                    <w:ind w:firstLine="420"/>
                    <w:jc w:val="both"/>
                  </w:pPr>
                  <w:r>
                    <w:rPr>
                      <w:rFonts w:ascii="仿宋_GB2312" w:hAnsi="仿宋_GB2312" w:cs="仿宋_GB2312" w:eastAsia="仿宋_GB2312"/>
                      <w:sz w:val="21"/>
                      <w:color w:val="993300"/>
                    </w:rPr>
                    <w:t>（八）省、市、县应用功能需求</w:t>
                  </w:r>
                </w:p>
                <w:p>
                  <w:pPr>
                    <w:pStyle w:val="null3"/>
                    <w:ind w:firstLine="420"/>
                    <w:jc w:val="both"/>
                  </w:pPr>
                  <w:r>
                    <w:rPr>
                      <w:rFonts w:ascii="仿宋_GB2312" w:hAnsi="仿宋_GB2312" w:cs="仿宋_GB2312" w:eastAsia="仿宋_GB2312"/>
                      <w:sz w:val="21"/>
                    </w:rPr>
                    <w:t>本期项目应用功能需求均由省级统一规划建设。</w:t>
                  </w:r>
                </w:p>
                <w:p>
                  <w:pPr>
                    <w:pStyle w:val="null3"/>
                    <w:ind w:firstLine="420"/>
                    <w:jc w:val="both"/>
                  </w:pPr>
                  <w:r>
                    <w:rPr>
                      <w:rFonts w:ascii="仿宋_GB2312" w:hAnsi="仿宋_GB2312" w:cs="仿宋_GB2312" w:eastAsia="仿宋_GB2312"/>
                      <w:sz w:val="21"/>
                      <w:color w:val="993300"/>
                    </w:rPr>
                    <w:t>（九）省、市、县应用功能操作权限分配需求</w:t>
                  </w:r>
                </w:p>
                <w:p>
                  <w:pPr>
                    <w:pStyle w:val="null3"/>
                    <w:ind w:firstLine="420"/>
                    <w:jc w:val="both"/>
                  </w:pPr>
                  <w:r>
                    <w:rPr>
                      <w:rFonts w:ascii="仿宋_GB2312" w:hAnsi="仿宋_GB2312" w:cs="仿宋_GB2312" w:eastAsia="仿宋_GB2312"/>
                      <w:sz w:val="21"/>
                    </w:rPr>
                    <w:t>1、系统用户</w:t>
                  </w:r>
                </w:p>
                <w:p>
                  <w:pPr>
                    <w:pStyle w:val="null3"/>
                    <w:ind w:firstLine="420"/>
                    <w:jc w:val="both"/>
                  </w:pPr>
                  <w:r>
                    <w:rPr>
                      <w:rFonts w:ascii="仿宋_GB2312" w:hAnsi="仿宋_GB2312" w:cs="仿宋_GB2312" w:eastAsia="仿宋_GB2312"/>
                      <w:sz w:val="21"/>
                    </w:rPr>
                    <w:t>系统用户包含：财政部门用户、非税执收单位用户。</w:t>
                  </w:r>
                </w:p>
                <w:p>
                  <w:pPr>
                    <w:pStyle w:val="null3"/>
                    <w:ind w:firstLine="420"/>
                    <w:jc w:val="both"/>
                  </w:pPr>
                  <w:r>
                    <w:rPr>
                      <w:rFonts w:ascii="仿宋_GB2312" w:hAnsi="仿宋_GB2312" w:cs="仿宋_GB2312" w:eastAsia="仿宋_GB2312"/>
                      <w:sz w:val="21"/>
                    </w:rPr>
                    <w:t>2、功能操作权限</w:t>
                  </w:r>
                </w:p>
                <w:p>
                  <w:pPr>
                    <w:pStyle w:val="null3"/>
                    <w:ind w:firstLine="420"/>
                    <w:jc w:val="both"/>
                  </w:pPr>
                  <w:r>
                    <w:rPr>
                      <w:rFonts w:ascii="仿宋_GB2312" w:hAnsi="仿宋_GB2312" w:cs="仿宋_GB2312" w:eastAsia="仿宋_GB2312"/>
                      <w:sz w:val="21"/>
                    </w:rPr>
                    <w:t>（1）省级负责对各业务模块进行建设与管理。</w:t>
                  </w:r>
                </w:p>
                <w:p>
                  <w:pPr>
                    <w:pStyle w:val="null3"/>
                    <w:ind w:firstLine="420"/>
                    <w:jc w:val="both"/>
                  </w:pPr>
                  <w:r>
                    <w:rPr>
                      <w:rFonts w:ascii="仿宋_GB2312" w:hAnsi="仿宋_GB2312" w:cs="仿宋_GB2312" w:eastAsia="仿宋_GB2312"/>
                      <w:sz w:val="21"/>
                    </w:rPr>
                    <w:t>（2）各级根据业务需要分配系统操作权限。</w:t>
                  </w:r>
                </w:p>
                <w:p>
                  <w:pPr>
                    <w:pStyle w:val="null3"/>
                    <w:numPr>
                      <w:ilvl w:val="0"/>
                      <w:numId w:val="1"/>
                    </w:numPr>
                  </w:pP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color w:val="993300"/>
                    </w:rPr>
                    <w:t>（一）并发性要求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非税暨票据管理一体化平台</w:t>
                  </w:r>
                </w:p>
                <w:p>
                  <w:pPr>
                    <w:pStyle w:val="null3"/>
                    <w:ind w:firstLine="420"/>
                    <w:jc w:val="left"/>
                  </w:pPr>
                  <w:r>
                    <w:rPr>
                      <w:rFonts w:ascii="仿宋_GB2312" w:hAnsi="仿宋_GB2312" w:cs="仿宋_GB2312" w:eastAsia="仿宋_GB2312"/>
                      <w:sz w:val="21"/>
                    </w:rPr>
                    <w:t>非税暨票据管理一体化平台使用预估显示，在未来三年内，最大单位19000余家，单位用户27000余个、财政用户1900余个。平台日均缴款10万笔，日均开票量70万张。系统需满足上述业务量下的运行要求，最大并发数不小于1000。</w:t>
                  </w:r>
                </w:p>
                <w:p>
                  <w:pPr>
                    <w:pStyle w:val="null3"/>
                    <w:ind w:firstLine="420"/>
                    <w:jc w:val="both"/>
                  </w:pPr>
                  <w:r>
                    <w:rPr>
                      <w:rFonts w:ascii="仿宋_GB2312" w:hAnsi="仿宋_GB2312" w:cs="仿宋_GB2312" w:eastAsia="仿宋_GB2312"/>
                      <w:sz w:val="21"/>
                    </w:rPr>
                    <w:t>2、电子凭证库和电子签章系统</w:t>
                  </w:r>
                </w:p>
                <w:p>
                  <w:pPr>
                    <w:pStyle w:val="null3"/>
                    <w:ind w:firstLine="420"/>
                    <w:jc w:val="both"/>
                  </w:pPr>
                  <w:r>
                    <w:rPr>
                      <w:rFonts w:ascii="仿宋_GB2312" w:hAnsi="仿宋_GB2312" w:cs="仿宋_GB2312" w:eastAsia="仿宋_GB2312"/>
                      <w:sz w:val="21"/>
                    </w:rPr>
                    <w:t>在保证平均响应时间的指标下，系统吞吐量不低于40笔凭证/秒。</w:t>
                  </w:r>
                </w:p>
                <w:p>
                  <w:pPr>
                    <w:pStyle w:val="null3"/>
                    <w:ind w:firstLine="420"/>
                    <w:jc w:val="both"/>
                  </w:pPr>
                  <w:r>
                    <w:rPr>
                      <w:rFonts w:ascii="仿宋_GB2312" w:hAnsi="仿宋_GB2312" w:cs="仿宋_GB2312" w:eastAsia="仿宋_GB2312"/>
                      <w:sz w:val="21"/>
                    </w:rPr>
                    <w:t>3、陕西省财政非税直缴电子化项目人行端</w:t>
                  </w:r>
                </w:p>
                <w:p>
                  <w:pPr>
                    <w:pStyle w:val="null3"/>
                    <w:ind w:firstLine="420"/>
                    <w:jc w:val="both"/>
                  </w:pPr>
                  <w:r>
                    <w:rPr>
                      <w:rFonts w:ascii="仿宋_GB2312" w:hAnsi="仿宋_GB2312" w:cs="仿宋_GB2312" w:eastAsia="仿宋_GB2312"/>
                      <w:sz w:val="21"/>
                    </w:rPr>
                    <w:t>系统的并发用户数不低于300个，系统处理能力不低于50个请求/每秒。</w:t>
                  </w:r>
                </w:p>
                <w:p>
                  <w:pPr>
                    <w:pStyle w:val="null3"/>
                    <w:ind w:firstLine="420"/>
                    <w:jc w:val="both"/>
                  </w:pPr>
                  <w:r>
                    <w:rPr>
                      <w:rFonts w:ascii="仿宋_GB2312" w:hAnsi="仿宋_GB2312" w:cs="仿宋_GB2312" w:eastAsia="仿宋_GB2312"/>
                      <w:sz w:val="21"/>
                      <w:color w:val="993300"/>
                    </w:rPr>
                    <w:t>（二）性能指标要求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非税暨票据管理一体化平台</w:t>
                  </w:r>
                </w:p>
                <w:p>
                  <w:pPr>
                    <w:pStyle w:val="null3"/>
                    <w:ind w:firstLine="420"/>
                    <w:jc w:val="both"/>
                  </w:pPr>
                  <w:r>
                    <w:rPr>
                      <w:rFonts w:ascii="仿宋_GB2312" w:hAnsi="仿宋_GB2312" w:cs="仿宋_GB2312" w:eastAsia="仿宋_GB2312"/>
                      <w:sz w:val="21"/>
                    </w:rPr>
                    <w:t>数据增删改查的操作，响应速度&lt;2秒；一般简单查询和统计响应速度＜2秒；复杂和组合查询、汇总统计，响应速度＜3秒；</w:t>
                  </w:r>
                  <w:r>
                    <w:rPr>
                      <w:rFonts w:ascii="仿宋_GB2312" w:hAnsi="仿宋_GB2312" w:cs="仿宋_GB2312" w:eastAsia="仿宋_GB2312"/>
                      <w:sz w:val="21"/>
                    </w:rPr>
                    <w:t>多表关联复杂大业务量查询，</w:t>
                  </w:r>
                  <w:r>
                    <w:rPr>
                      <w:rFonts w:ascii="仿宋_GB2312" w:hAnsi="仿宋_GB2312" w:cs="仿宋_GB2312" w:eastAsia="仿宋_GB2312"/>
                      <w:sz w:val="21"/>
                    </w:rPr>
                    <w:t>汇总统计，响应速度＜</w:t>
                  </w:r>
                  <w:r>
                    <w:rPr>
                      <w:rFonts w:ascii="仿宋_GB2312" w:hAnsi="仿宋_GB2312" w:cs="仿宋_GB2312" w:eastAsia="仿宋_GB2312"/>
                      <w:sz w:val="21"/>
                    </w:rPr>
                    <w:t>15</w:t>
                  </w:r>
                  <w:r>
                    <w:rPr>
                      <w:rFonts w:ascii="仿宋_GB2312" w:hAnsi="仿宋_GB2312" w:cs="仿宋_GB2312" w:eastAsia="仿宋_GB2312"/>
                      <w:sz w:val="21"/>
                    </w:rPr>
                    <w:t>秒；整个应用软件系统应能够连续7×24小时不间断工作，应用软件中的任一模块更新、加载时，在不更新与上下模块的接口的前提下，不影响其他模块的运行；系统应能保证长时期运行且积累相当数量的数据后，系统软件性能没有明显的下降。</w:t>
                  </w:r>
                </w:p>
                <w:p>
                  <w:pPr>
                    <w:pStyle w:val="null3"/>
                    <w:ind w:firstLine="420"/>
                    <w:jc w:val="both"/>
                  </w:pPr>
                  <w:r>
                    <w:rPr>
                      <w:rFonts w:ascii="仿宋_GB2312" w:hAnsi="仿宋_GB2312" w:cs="仿宋_GB2312" w:eastAsia="仿宋_GB2312"/>
                      <w:sz w:val="21"/>
                    </w:rPr>
                    <w:t>2、电子凭证库和电子签章系统</w:t>
                  </w:r>
                </w:p>
                <w:p>
                  <w:pPr>
                    <w:pStyle w:val="null3"/>
                    <w:ind w:firstLine="420"/>
                    <w:jc w:val="both"/>
                  </w:pPr>
                  <w:r>
                    <w:rPr>
                      <w:rFonts w:ascii="仿宋_GB2312" w:hAnsi="仿宋_GB2312" w:cs="仿宋_GB2312" w:eastAsia="仿宋_GB2312"/>
                      <w:sz w:val="21"/>
                    </w:rPr>
                    <w:t>（1）业务处理速度</w:t>
                  </w:r>
                </w:p>
                <w:p>
                  <w:pPr>
                    <w:pStyle w:val="null3"/>
                    <w:ind w:firstLine="420"/>
                    <w:jc w:val="both"/>
                  </w:pPr>
                  <w:r>
                    <w:rPr>
                      <w:rFonts w:ascii="仿宋_GB2312" w:hAnsi="仿宋_GB2312" w:cs="仿宋_GB2312" w:eastAsia="仿宋_GB2312"/>
                      <w:sz w:val="21"/>
                    </w:rPr>
                    <w:t>要求事务处理查询平均3秒，最长5秒；普通应用查询平均3秒，最长5秒。</w:t>
                  </w:r>
                </w:p>
                <w:p>
                  <w:pPr>
                    <w:pStyle w:val="null3"/>
                    <w:ind w:firstLine="420"/>
                    <w:jc w:val="both"/>
                  </w:pPr>
                  <w:r>
                    <w:rPr>
                      <w:rFonts w:ascii="仿宋_GB2312" w:hAnsi="仿宋_GB2312" w:cs="仿宋_GB2312" w:eastAsia="仿宋_GB2312"/>
                      <w:sz w:val="21"/>
                    </w:rPr>
                    <w:t>（2）交易响应时间</w:t>
                  </w:r>
                </w:p>
                <w:p>
                  <w:pPr>
                    <w:pStyle w:val="null3"/>
                    <w:ind w:firstLine="420"/>
                    <w:jc w:val="both"/>
                  </w:pPr>
                  <w:r>
                    <w:rPr>
                      <w:rFonts w:ascii="仿宋_GB2312" w:hAnsi="仿宋_GB2312" w:cs="仿宋_GB2312" w:eastAsia="仿宋_GB2312"/>
                      <w:sz w:val="21"/>
                    </w:rPr>
                    <w:t>系统完成一次业务操作为一笔交易，要求系统响应时间应是即时（不超过10秒），每笔交易平均响应时间不超过5秒。月末、季末、年末业务集中办理高并发情况下，要求系统响应时间应不超过30秒。</w:t>
                  </w:r>
                </w:p>
                <w:p>
                  <w:pPr>
                    <w:pStyle w:val="null3"/>
                    <w:ind w:firstLine="420"/>
                    <w:jc w:val="both"/>
                  </w:pPr>
                  <w:r>
                    <w:rPr>
                      <w:rFonts w:ascii="仿宋_GB2312" w:hAnsi="仿宋_GB2312" w:cs="仿宋_GB2312" w:eastAsia="仿宋_GB2312"/>
                      <w:sz w:val="21"/>
                    </w:rPr>
                    <w:t>3、陕西省财政非税直缴电子化项目人行端</w:t>
                  </w:r>
                </w:p>
                <w:p>
                  <w:pPr>
                    <w:pStyle w:val="null3"/>
                    <w:ind w:firstLine="420"/>
                    <w:jc w:val="both"/>
                  </w:pPr>
                  <w:r>
                    <w:rPr>
                      <w:rFonts w:ascii="仿宋_GB2312" w:hAnsi="仿宋_GB2312" w:cs="仿宋_GB2312" w:eastAsia="仿宋_GB2312"/>
                      <w:sz w:val="21"/>
                    </w:rPr>
                    <w:t>（1）业务处理速度</w:t>
                  </w:r>
                </w:p>
                <w:p>
                  <w:pPr>
                    <w:pStyle w:val="null3"/>
                    <w:ind w:firstLine="420"/>
                    <w:jc w:val="both"/>
                  </w:pPr>
                  <w:r>
                    <w:rPr>
                      <w:rFonts w:ascii="仿宋_GB2312" w:hAnsi="仿宋_GB2312" w:cs="仿宋_GB2312" w:eastAsia="仿宋_GB2312"/>
                      <w:sz w:val="21"/>
                    </w:rPr>
                    <w:t>要求事务处理查询平均3秒，最长5秒；普通应用查询平均3秒，最长5秒；统计分析类查询平均15秒，最长30秒。</w:t>
                  </w:r>
                </w:p>
                <w:p>
                  <w:pPr>
                    <w:pStyle w:val="null3"/>
                    <w:ind w:firstLine="420"/>
                    <w:jc w:val="both"/>
                  </w:pPr>
                  <w:r>
                    <w:rPr>
                      <w:rFonts w:ascii="仿宋_GB2312" w:hAnsi="仿宋_GB2312" w:cs="仿宋_GB2312" w:eastAsia="仿宋_GB2312"/>
                      <w:sz w:val="21"/>
                    </w:rPr>
                    <w:t>（2）交易响应时间</w:t>
                  </w:r>
                </w:p>
                <w:p>
                  <w:pPr>
                    <w:pStyle w:val="null3"/>
                    <w:ind w:firstLine="420"/>
                    <w:jc w:val="both"/>
                  </w:pPr>
                  <w:r>
                    <w:rPr>
                      <w:rFonts w:ascii="仿宋_GB2312" w:hAnsi="仿宋_GB2312" w:cs="仿宋_GB2312" w:eastAsia="仿宋_GB2312"/>
                      <w:sz w:val="21"/>
                    </w:rPr>
                    <w:t>系统完成一次业务操作为一笔交易，要求系统响应时间应是即时（不超过10秒）的，每笔交易平均响应时间不超过5秒。</w:t>
                  </w:r>
                </w:p>
                <w:p>
                  <w:pPr>
                    <w:pStyle w:val="null3"/>
                    <w:ind w:firstLine="420"/>
                    <w:jc w:val="both"/>
                  </w:pPr>
                  <w:r>
                    <w:rPr>
                      <w:rFonts w:ascii="仿宋_GB2312" w:hAnsi="仿宋_GB2312" w:cs="仿宋_GB2312" w:eastAsia="仿宋_GB2312"/>
                      <w:sz w:val="21"/>
                      <w:color w:val="993300"/>
                    </w:rPr>
                    <w:t>（三）可靠性指标</w:t>
                  </w:r>
                </w:p>
                <w:p>
                  <w:pPr>
                    <w:pStyle w:val="null3"/>
                    <w:ind w:firstLine="420"/>
                    <w:jc w:val="both"/>
                  </w:pPr>
                  <w:r>
                    <w:rPr>
                      <w:rFonts w:ascii="仿宋_GB2312" w:hAnsi="仿宋_GB2312" w:cs="仿宋_GB2312" w:eastAsia="仿宋_GB2312"/>
                      <w:sz w:val="21"/>
                    </w:rPr>
                    <w:t>提供良好的数据安全可靠性策略，采用多种安全可靠技术手段，保证应用系统及数据的安全与可靠。系统应具有长期连续工作的能力和容错能力。</w:t>
                  </w:r>
                </w:p>
                <w:p>
                  <w:pPr>
                    <w:pStyle w:val="null3"/>
                    <w:ind w:firstLine="420"/>
                    <w:jc w:val="both"/>
                  </w:pPr>
                  <w:r>
                    <w:rPr>
                      <w:rFonts w:ascii="仿宋_GB2312" w:hAnsi="仿宋_GB2312" w:cs="仿宋_GB2312" w:eastAsia="仿宋_GB2312"/>
                      <w:sz w:val="21"/>
                    </w:rPr>
                    <w:t>系统应能够连续7×24小时不间断工作。系统前三年，每运行2000小时，累计平均无故障时间为1998小时，平均故障修复时间小于2小时。三年以后，每运行1000小时，累计平均无故障时间为996小时，平均故障修复时间小于4小时。</w:t>
                  </w:r>
                </w:p>
                <w:p>
                  <w:pPr>
                    <w:pStyle w:val="null3"/>
                    <w:numPr>
                      <w:ilvl w:val="0"/>
                      <w:numId w:val="1"/>
                    </w:numPr>
                  </w:pPr>
                  <w:r>
                    <w:rPr>
                      <w:rFonts w:ascii="仿宋_GB2312" w:hAnsi="仿宋_GB2312" w:cs="仿宋_GB2312" w:eastAsia="仿宋_GB2312"/>
                      <w:sz w:val="21"/>
                      <w:b/>
                    </w:rPr>
                    <w:t>系统安全要求</w:t>
                  </w:r>
                </w:p>
                <w:p>
                  <w:pPr>
                    <w:pStyle w:val="null3"/>
                    <w:spacing w:after="165"/>
                    <w:ind w:firstLine="420"/>
                    <w:jc w:val="both"/>
                  </w:pPr>
                  <w:r>
                    <w:rPr>
                      <w:rFonts w:ascii="仿宋_GB2312" w:hAnsi="仿宋_GB2312" w:cs="仿宋_GB2312" w:eastAsia="仿宋_GB2312"/>
                      <w:sz w:val="21"/>
                      <w:color w:val="993300"/>
                    </w:rPr>
                    <w:t>（一）总体要求</w:t>
                  </w:r>
                </w:p>
                <w:p>
                  <w:pPr>
                    <w:pStyle w:val="null3"/>
                    <w:spacing w:after="165"/>
                    <w:ind w:firstLine="420"/>
                    <w:jc w:val="both"/>
                  </w:pPr>
                  <w:r>
                    <w:rPr>
                      <w:rFonts w:ascii="仿宋_GB2312" w:hAnsi="仿宋_GB2312" w:cs="仿宋_GB2312" w:eastAsia="仿宋_GB2312"/>
                      <w:sz w:val="21"/>
                    </w:rPr>
                    <w:t>应用安全要求应严格遵循《财政网络安全总体策略》（财信办〔2017〕11号）、《财政应用系统安全开发规范》（财网信办〔2018〕10号）以及财政部后续发布实施的相关安全管理文件等的规定。其中，非涉密应用系统建设还应遵循《GB/T 22239-2019 信息安全技术 信息系统安全等级保护基本要求》和《GB/T 25070-2019信息安全技术 网络安全等级保护安全设计技术要求》的安全要求，涉密应用系统应遵循涉密信息系统分级保护建设和测评相关国家标准，按照甲方要求完成风险评估工作，并出具具有资质的机构的报告，并配合甲方完成密码测评和等级保护测评工作。</w:t>
                  </w:r>
                </w:p>
                <w:p>
                  <w:pPr>
                    <w:pStyle w:val="null3"/>
                    <w:spacing w:after="165"/>
                    <w:ind w:firstLine="420"/>
                    <w:jc w:val="both"/>
                  </w:pPr>
                  <w:r>
                    <w:rPr>
                      <w:rFonts w:ascii="仿宋_GB2312" w:hAnsi="仿宋_GB2312" w:cs="仿宋_GB2312" w:eastAsia="仿宋_GB2312"/>
                      <w:sz w:val="21"/>
                      <w:color w:val="993300"/>
                    </w:rPr>
                    <w:t>（二）具体要求</w:t>
                  </w:r>
                </w:p>
                <w:p>
                  <w:pPr>
                    <w:pStyle w:val="null3"/>
                    <w:spacing w:after="165"/>
                    <w:ind w:firstLine="420"/>
                    <w:jc w:val="left"/>
                  </w:pPr>
                  <w:r>
                    <w:rPr>
                      <w:rFonts w:ascii="仿宋_GB2312" w:hAnsi="仿宋_GB2312" w:cs="仿宋_GB2312" w:eastAsia="仿宋_GB2312"/>
                      <w:sz w:val="21"/>
                    </w:rPr>
                    <w:t>应用安全的目标是通过建立应用开发安全技术规范，并对应用系统安全进行管理，降低因应用系统自身安全设计、安全功能缺陷，或因缺乏开发和上线管控而引发的安全风险。</w:t>
                  </w:r>
                </w:p>
                <w:p>
                  <w:pPr>
                    <w:pStyle w:val="null3"/>
                    <w:spacing w:after="165"/>
                    <w:ind w:firstLine="420"/>
                    <w:jc w:val="left"/>
                  </w:pPr>
                  <w:r>
                    <w:rPr>
                      <w:rFonts w:ascii="仿宋_GB2312" w:hAnsi="仿宋_GB2312" w:cs="仿宋_GB2312" w:eastAsia="仿宋_GB2312"/>
                      <w:sz w:val="21"/>
                    </w:rPr>
                    <w:t>应用系统需求分析阶段必须同步开展安全需求分析，分析该财政业务面临的风险，安全需求分析应至少包括身份鉴别、访问控制、安全审计、剩余信息保护、软件容错、资源控制、传输加密与敏感或重要数据存储加密等。</w:t>
                  </w:r>
                </w:p>
                <w:p>
                  <w:pPr>
                    <w:pStyle w:val="null3"/>
                    <w:spacing w:after="165"/>
                    <w:ind w:firstLine="420"/>
                    <w:jc w:val="left"/>
                  </w:pPr>
                  <w:r>
                    <w:rPr>
                      <w:rFonts w:ascii="仿宋_GB2312" w:hAnsi="仿宋_GB2312" w:cs="仿宋_GB2312" w:eastAsia="仿宋_GB2312"/>
                      <w:sz w:val="21"/>
                    </w:rPr>
                    <w:t>应用系统设计阶段应依据安全需求分析结果，设计应用安全架构和安全功能。</w:t>
                  </w:r>
                </w:p>
                <w:p>
                  <w:pPr>
                    <w:pStyle w:val="null3"/>
                    <w:spacing w:after="165"/>
                    <w:ind w:firstLine="420"/>
                    <w:jc w:val="left"/>
                  </w:pPr>
                  <w:r>
                    <w:rPr>
                      <w:rFonts w:ascii="仿宋_GB2312" w:hAnsi="仿宋_GB2312" w:cs="仿宋_GB2312" w:eastAsia="仿宋_GB2312"/>
                      <w:sz w:val="21"/>
                    </w:rPr>
                    <w:t>应用系统开发、测试阶段应保证开发、测试环境与生产环境分离，在开发前应对开发人员进行代码安全等安全培训。</w:t>
                  </w:r>
                </w:p>
                <w:p>
                  <w:pPr>
                    <w:pStyle w:val="null3"/>
                    <w:spacing w:after="165"/>
                    <w:ind w:firstLine="420"/>
                    <w:jc w:val="left"/>
                  </w:pPr>
                  <w:r>
                    <w:rPr>
                      <w:rFonts w:ascii="仿宋_GB2312" w:hAnsi="仿宋_GB2312" w:cs="仿宋_GB2312" w:eastAsia="仿宋_GB2312"/>
                      <w:sz w:val="21"/>
                    </w:rPr>
                    <w:t>应用系统开发必须遵循应用开发安全技术规范，对应用系统安全功能实现和代码质量进行管控，防止系统存在后门、漏洞和安全缺陷等。</w:t>
                  </w:r>
                </w:p>
                <w:p>
                  <w:pPr>
                    <w:pStyle w:val="null3"/>
                    <w:spacing w:after="165"/>
                    <w:ind w:firstLine="420"/>
                    <w:jc w:val="left"/>
                  </w:pPr>
                  <w:r>
                    <w:rPr>
                      <w:rFonts w:ascii="仿宋_GB2312" w:hAnsi="仿宋_GB2312" w:cs="仿宋_GB2312" w:eastAsia="仿宋_GB2312"/>
                      <w:sz w:val="21"/>
                    </w:rPr>
                    <w:t>应用系统上线前应通过安全测试工作，测试工作包括安全合规性检查、漏洞扫描、渗透测试等。</w:t>
                  </w:r>
                </w:p>
                <w:p>
                  <w:pPr>
                    <w:pStyle w:val="null3"/>
                    <w:spacing w:after="165"/>
                    <w:ind w:firstLine="420"/>
                    <w:jc w:val="left"/>
                  </w:pPr>
                  <w:r>
                    <w:rPr>
                      <w:rFonts w:ascii="仿宋_GB2312" w:hAnsi="仿宋_GB2312" w:cs="仿宋_GB2312" w:eastAsia="仿宋_GB2312"/>
                      <w:sz w:val="21"/>
                    </w:rPr>
                    <w:t>应用系统上线后，应定期对应用系统进行安全测试，对于不符合安全要求的应用系统应及时做出整改。</w:t>
                  </w:r>
                </w:p>
                <w:p>
                  <w:pPr>
                    <w:pStyle w:val="null3"/>
                    <w:spacing w:after="165"/>
                    <w:ind w:firstLine="420"/>
                    <w:jc w:val="left"/>
                  </w:pPr>
                  <w:r>
                    <w:rPr>
                      <w:rFonts w:ascii="仿宋_GB2312" w:hAnsi="仿宋_GB2312" w:cs="仿宋_GB2312" w:eastAsia="仿宋_GB2312"/>
                      <w:sz w:val="21"/>
                    </w:rPr>
                    <w:t>应用系统升级改造后，重新上线前必须进行安全测试。</w:t>
                  </w:r>
                </w:p>
                <w:p>
                  <w:pPr>
                    <w:pStyle w:val="null3"/>
                    <w:spacing w:after="165"/>
                    <w:ind w:firstLine="420"/>
                    <w:jc w:val="left"/>
                  </w:pPr>
                  <w:r>
                    <w:rPr>
                      <w:rFonts w:ascii="仿宋_GB2312" w:hAnsi="仿宋_GB2312" w:cs="仿宋_GB2312" w:eastAsia="仿宋_GB2312"/>
                      <w:sz w:val="21"/>
                    </w:rPr>
                    <w:t>应用系统安全从身份鉴别、访问控制、安全审计、软件容错、资源控制、数据完整性、数据保密性、剩余信息保护、个人信息保护、抗抵赖和其他业务安全要求进行规范要求。</w:t>
                  </w:r>
                </w:p>
                <w:p>
                  <w:pPr>
                    <w:pStyle w:val="null3"/>
                    <w:spacing w:after="165"/>
                    <w:ind w:firstLine="420"/>
                    <w:jc w:val="left"/>
                  </w:pPr>
                  <w:r>
                    <w:rPr>
                      <w:rFonts w:ascii="仿宋_GB2312" w:hAnsi="仿宋_GB2312" w:cs="仿宋_GB2312" w:eastAsia="仿宋_GB2312"/>
                      <w:sz w:val="21"/>
                    </w:rPr>
                    <w:t>应用系统验收应涵盖网络安全内容，包括安全需求方案、安全设计方案、安全实施方案和安全测试报告等。</w:t>
                  </w:r>
                </w:p>
                <w:p>
                  <w:pPr>
                    <w:pStyle w:val="null3"/>
                    <w:spacing w:after="165"/>
                    <w:ind w:firstLine="420"/>
                    <w:jc w:val="both"/>
                  </w:pPr>
                  <w:r>
                    <w:rPr>
                      <w:rFonts w:ascii="仿宋_GB2312" w:hAnsi="仿宋_GB2312" w:cs="仿宋_GB2312" w:eastAsia="仿宋_GB2312"/>
                      <w:sz w:val="21"/>
                      <w:color w:val="993300"/>
                    </w:rPr>
                    <w:t>（三）密码应用要求</w:t>
                  </w:r>
                </w:p>
                <w:p>
                  <w:pPr>
                    <w:pStyle w:val="null3"/>
                    <w:spacing w:after="165"/>
                    <w:ind w:firstLine="420"/>
                    <w:jc w:val="left"/>
                  </w:pPr>
                  <w:r>
                    <w:rPr>
                      <w:rFonts w:ascii="仿宋_GB2312" w:hAnsi="仿宋_GB2312" w:cs="仿宋_GB2312" w:eastAsia="仿宋_GB2312"/>
                      <w:sz w:val="21"/>
                    </w:rPr>
                    <w:t>围绕GB/T 39786-2021《信息安全技术 信息系统密码应用基本要求》中关于信息系统的密码应用要求，综合考虑物理和环境、网络和通信、设备和计算、应用和数据、安全管理等层面的密码应用需求，实施合规、正确、有效的密码应用方案，满足GB/T 39786-2021《信息安全技术 信息系统密码应用基本要求》中三级指标要求，确保系统密码应用合规、正确、有效。业务应用系统与商用密码系统对接，完善系统密码应用保障体系，满足对于数据的机密性、完整性、真实性、不可否认性需求，提升业务应用系统的安全性。</w:t>
                  </w:r>
                </w:p>
                <w:p>
                  <w:pPr>
                    <w:pStyle w:val="null3"/>
                    <w:numPr>
                      <w:ilvl w:val="0"/>
                      <w:numId w:val="1"/>
                    </w:numPr>
                  </w:pPr>
                  <w:r>
                    <w:rPr>
                      <w:rFonts w:ascii="仿宋_GB2312" w:hAnsi="仿宋_GB2312" w:cs="仿宋_GB2312" w:eastAsia="仿宋_GB2312"/>
                      <w:sz w:val="21"/>
                      <w:b/>
                    </w:rPr>
                    <w:t>国产化适配改造要求</w:t>
                  </w:r>
                </w:p>
                <w:p>
                  <w:pPr>
                    <w:pStyle w:val="null3"/>
                    <w:ind w:firstLine="420"/>
                    <w:jc w:val="both"/>
                  </w:pPr>
                  <w:r>
                    <w:rPr>
                      <w:rFonts w:ascii="仿宋_GB2312" w:hAnsi="仿宋_GB2312" w:cs="仿宋_GB2312" w:eastAsia="仿宋_GB2312"/>
                      <w:sz w:val="21"/>
                      <w:color w:val="993300"/>
                    </w:rPr>
                    <w:t>（一）非税暨票据管理一体化系统国产化适配改造要求</w:t>
                  </w:r>
                </w:p>
                <w:p>
                  <w:pPr>
                    <w:pStyle w:val="null3"/>
                    <w:ind w:firstLine="420"/>
                    <w:jc w:val="left"/>
                  </w:pPr>
                  <w:r>
                    <w:rPr>
                      <w:rFonts w:ascii="仿宋_GB2312" w:hAnsi="仿宋_GB2312" w:cs="仿宋_GB2312" w:eastAsia="仿宋_GB2312"/>
                      <w:sz w:val="21"/>
                    </w:rPr>
                    <w:t>需求描述：非税暨票据管理一体化系统国产化适配范围包含服务器主机适配、服务器操作系统适配、国产中间件适配、国产数据库适配、客户端环境适配、根据密评方案进行程序适配。</w:t>
                  </w:r>
                </w:p>
                <w:p>
                  <w:pPr>
                    <w:pStyle w:val="null3"/>
                    <w:ind w:firstLine="420"/>
                    <w:jc w:val="left"/>
                  </w:pPr>
                  <w:r>
                    <w:rPr>
                      <w:rFonts w:ascii="仿宋_GB2312" w:hAnsi="仿宋_GB2312" w:cs="仿宋_GB2312" w:eastAsia="仿宋_GB2312"/>
                      <w:sz w:val="21"/>
                    </w:rPr>
                    <w:t>功能说明：</w:t>
                  </w:r>
                </w:p>
                <w:p>
                  <w:pPr>
                    <w:pStyle w:val="null3"/>
                    <w:numPr>
                      <w:ilvl w:val="0"/>
                      <w:numId w:val="2"/>
                    </w:numPr>
                    <w:jc w:val="left"/>
                  </w:pPr>
                  <w:r>
                    <w:rPr>
                      <w:rFonts w:ascii="仿宋_GB2312" w:hAnsi="仿宋_GB2312" w:cs="仿宋_GB2312" w:eastAsia="仿宋_GB2312"/>
                      <w:sz w:val="21"/>
                    </w:rPr>
                    <w:t>服务器主机适配</w:t>
                  </w:r>
                </w:p>
                <w:p>
                  <w:pPr>
                    <w:pStyle w:val="null3"/>
                    <w:ind w:firstLine="420"/>
                    <w:jc w:val="left"/>
                  </w:pPr>
                  <w:r>
                    <w:rPr>
                      <w:rFonts w:ascii="仿宋_GB2312" w:hAnsi="仿宋_GB2312" w:cs="仿宋_GB2312" w:eastAsia="仿宋_GB2312"/>
                      <w:sz w:val="21"/>
                    </w:rPr>
                    <w:t>本次非税收入收缴系统国产化适配改造，需要针对服务器国产CPU进行适配。</w:t>
                  </w:r>
                </w:p>
                <w:p>
                  <w:pPr>
                    <w:pStyle w:val="null3"/>
                    <w:numPr>
                      <w:ilvl w:val="0"/>
                      <w:numId w:val="2"/>
                    </w:numPr>
                    <w:jc w:val="left"/>
                  </w:pPr>
                  <w:r>
                    <w:rPr>
                      <w:rFonts w:ascii="仿宋_GB2312" w:hAnsi="仿宋_GB2312" w:cs="仿宋_GB2312" w:eastAsia="仿宋_GB2312"/>
                      <w:sz w:val="21"/>
                    </w:rPr>
                    <w:t>服务器操作系统适配</w:t>
                  </w:r>
                </w:p>
                <w:p>
                  <w:pPr>
                    <w:pStyle w:val="null3"/>
                    <w:ind w:firstLine="420"/>
                    <w:jc w:val="left"/>
                  </w:pPr>
                  <w:r>
                    <w:rPr>
                      <w:rFonts w:ascii="仿宋_GB2312" w:hAnsi="仿宋_GB2312" w:cs="仿宋_GB2312" w:eastAsia="仿宋_GB2312"/>
                      <w:sz w:val="21"/>
                    </w:rPr>
                    <w:t>非税收入收缴系统服务端针对信创操作系统需要修改原有基于Windows或Linux实现的功能，并进行适配和验证测试。</w:t>
                  </w:r>
                </w:p>
                <w:p>
                  <w:pPr>
                    <w:pStyle w:val="null3"/>
                    <w:numPr>
                      <w:ilvl w:val="0"/>
                      <w:numId w:val="2"/>
                    </w:numPr>
                    <w:jc w:val="left"/>
                  </w:pPr>
                  <w:r>
                    <w:rPr>
                      <w:rFonts w:ascii="仿宋_GB2312" w:hAnsi="仿宋_GB2312" w:cs="仿宋_GB2312" w:eastAsia="仿宋_GB2312"/>
                      <w:sz w:val="21"/>
                    </w:rPr>
                    <w:t>国产中间件适配</w:t>
                  </w:r>
                </w:p>
                <w:p>
                  <w:pPr>
                    <w:pStyle w:val="null3"/>
                    <w:ind w:firstLine="420"/>
                    <w:jc w:val="left"/>
                  </w:pPr>
                  <w:r>
                    <w:rPr>
                      <w:rFonts w:ascii="仿宋_GB2312" w:hAnsi="仿宋_GB2312" w:cs="仿宋_GB2312" w:eastAsia="仿宋_GB2312"/>
                      <w:sz w:val="21"/>
                    </w:rPr>
                    <w:t>应用系统中间件替换为信创环境国产中间件，需要对项目现有开发框架的各个模块进行改造，并进行系统配置和部署适配改造，同时在中间件进行负载均衡和集群建设。</w:t>
                  </w:r>
                </w:p>
                <w:p>
                  <w:pPr>
                    <w:pStyle w:val="null3"/>
                    <w:numPr>
                      <w:ilvl w:val="0"/>
                      <w:numId w:val="2"/>
                    </w:numPr>
                    <w:jc w:val="left"/>
                  </w:pPr>
                  <w:r>
                    <w:rPr>
                      <w:rFonts w:ascii="仿宋_GB2312" w:hAnsi="仿宋_GB2312" w:cs="仿宋_GB2312" w:eastAsia="仿宋_GB2312"/>
                      <w:sz w:val="21"/>
                    </w:rPr>
                    <w:t>国产数据库适配</w:t>
                  </w:r>
                </w:p>
                <w:p>
                  <w:pPr>
                    <w:pStyle w:val="null3"/>
                    <w:ind w:firstLine="420"/>
                    <w:jc w:val="left"/>
                  </w:pPr>
                  <w:r>
                    <w:rPr>
                      <w:rFonts w:ascii="仿宋_GB2312" w:hAnsi="仿宋_GB2312" w:cs="仿宋_GB2312" w:eastAsia="仿宋_GB2312"/>
                      <w:sz w:val="21"/>
                    </w:rPr>
                    <w:t>需将应用系统适配国产数据库（数据库可利用数政局或财政厅现有数据库资源）。一是修改现有基于Oracle实现的功能，建立基于国产化数据库的功能，二是实现与国产化数据库做适配改造，在数据库适配改造过程中，涉及到数据类型、数据库表结构、视图、序列、存储过程等多种数据库对象的适配。</w:t>
                  </w:r>
                </w:p>
                <w:p>
                  <w:pPr>
                    <w:pStyle w:val="null3"/>
                    <w:numPr>
                      <w:ilvl w:val="0"/>
                      <w:numId w:val="2"/>
                    </w:numPr>
                    <w:jc w:val="left"/>
                  </w:pPr>
                  <w:r>
                    <w:rPr>
                      <w:rFonts w:ascii="仿宋_GB2312" w:hAnsi="仿宋_GB2312" w:cs="仿宋_GB2312" w:eastAsia="仿宋_GB2312"/>
                      <w:sz w:val="21"/>
                    </w:rPr>
                    <w:t>客户端环境适配</w:t>
                  </w:r>
                </w:p>
                <w:p>
                  <w:pPr>
                    <w:pStyle w:val="null3"/>
                    <w:ind w:firstLine="420"/>
                    <w:jc w:val="left"/>
                  </w:pPr>
                  <w:r>
                    <w:rPr>
                      <w:rFonts w:ascii="仿宋_GB2312" w:hAnsi="仿宋_GB2312" w:cs="仿宋_GB2312" w:eastAsia="仿宋_GB2312"/>
                      <w:sz w:val="21"/>
                    </w:rPr>
                    <w:t>适配内容包括信创终端操作系统的适配优化、信创办公软件的适配优化、信创浏览器显示适配优化、前端插件（打印组件）及系统功能适配优化等。</w:t>
                  </w:r>
                </w:p>
                <w:p>
                  <w:pPr>
                    <w:pStyle w:val="null3"/>
                    <w:ind w:firstLine="420"/>
                    <w:jc w:val="both"/>
                  </w:pPr>
                  <w:r>
                    <w:rPr>
                      <w:rFonts w:ascii="仿宋_GB2312" w:hAnsi="仿宋_GB2312" w:cs="仿宋_GB2312" w:eastAsia="仿宋_GB2312"/>
                      <w:sz w:val="21"/>
                      <w:color w:val="993300"/>
                    </w:rPr>
                    <w:t>（二）电子凭证库和电子签章系统信创适配</w:t>
                  </w:r>
                </w:p>
                <w:p>
                  <w:pPr>
                    <w:pStyle w:val="null3"/>
                    <w:ind w:firstLine="420"/>
                    <w:jc w:val="left"/>
                  </w:pPr>
                  <w:r>
                    <w:rPr>
                      <w:rFonts w:ascii="仿宋_GB2312" w:hAnsi="仿宋_GB2312" w:cs="仿宋_GB2312" w:eastAsia="仿宋_GB2312"/>
                      <w:sz w:val="21"/>
                    </w:rPr>
                    <w:t>非税收入缴库电子化业务和国库集中支付业务共用一套电子化安全支撑体系，信创改造需根据国库集中支付信创改造的相关要求和时间执行。</w:t>
                  </w:r>
                </w:p>
                <w:p>
                  <w:pPr>
                    <w:pStyle w:val="null3"/>
                    <w:ind w:firstLine="420"/>
                    <w:jc w:val="both"/>
                  </w:pPr>
                  <w:r>
                    <w:rPr>
                      <w:rFonts w:ascii="仿宋_GB2312" w:hAnsi="仿宋_GB2312" w:cs="仿宋_GB2312" w:eastAsia="仿宋_GB2312"/>
                      <w:sz w:val="21"/>
                      <w:color w:val="993300"/>
                    </w:rPr>
                    <w:t>（三）陕西省财政非税直缴电子化项目人行端</w:t>
                  </w:r>
                </w:p>
                <w:p>
                  <w:pPr>
                    <w:pStyle w:val="null3"/>
                    <w:ind w:firstLine="420"/>
                    <w:jc w:val="left"/>
                  </w:pPr>
                  <w:r>
                    <w:rPr>
                      <w:rFonts w:ascii="仿宋_GB2312" w:hAnsi="仿宋_GB2312" w:cs="仿宋_GB2312" w:eastAsia="仿宋_GB2312"/>
                      <w:sz w:val="21"/>
                    </w:rPr>
                    <w:t>陕西省财政非税直缴电子化项目人行端信创适配需根据人民银行相关要求和时间执行。后期不再产生相关费用。</w:t>
                  </w:r>
                </w:p>
                <w:p>
                  <w:pPr>
                    <w:pStyle w:val="null3"/>
                    <w:numPr>
                      <w:ilvl w:val="0"/>
                      <w:numId w:val="1"/>
                    </w:numPr>
                  </w:pPr>
                  <w:r>
                    <w:rPr>
                      <w:rFonts w:ascii="仿宋_GB2312" w:hAnsi="仿宋_GB2312" w:cs="仿宋_GB2312" w:eastAsia="仿宋_GB2312"/>
                      <w:sz w:val="21"/>
                      <w:b/>
                    </w:rPr>
                    <w:t>系统测试要求</w:t>
                  </w:r>
                </w:p>
                <w:p>
                  <w:pPr>
                    <w:pStyle w:val="null3"/>
                    <w:ind w:firstLine="420"/>
                    <w:jc w:val="left"/>
                  </w:pPr>
                  <w:r>
                    <w:rPr>
                      <w:rFonts w:ascii="仿宋_GB2312" w:hAnsi="仿宋_GB2312" w:cs="仿宋_GB2312" w:eastAsia="仿宋_GB2312"/>
                      <w:sz w:val="21"/>
                    </w:rPr>
                    <w:t>应用系统的正式运行首先需要在实际环境中进行试运行，通过试运行补充系统的历史数据、对业务人员进行培训、建立业务管理机制同时建立系统同业务之间的默契。</w:t>
                  </w:r>
                </w:p>
                <w:p>
                  <w:pPr>
                    <w:pStyle w:val="null3"/>
                    <w:ind w:firstLine="420"/>
                    <w:jc w:val="left"/>
                  </w:pPr>
                  <w:r>
                    <w:rPr>
                      <w:rFonts w:ascii="仿宋_GB2312" w:hAnsi="仿宋_GB2312" w:cs="仿宋_GB2312" w:eastAsia="仿宋_GB2312"/>
                      <w:sz w:val="21"/>
                    </w:rPr>
                    <w:t>软件测试作为项目建设过程中，必不可少的一个环节，陕西省非税暨票据管理一体化平台—非税收入电子化收缴模块要基于陕西省非税暨票据管理一体化平台进行扩建，因此软件测试工作要和原有系统保持一致。测试环境、测试用例、测试账号、测试地址都符合功能扩建的要求，以确保测试工作的连贯性和有效性。</w:t>
                  </w:r>
                </w:p>
                <w:p>
                  <w:pPr>
                    <w:pStyle w:val="null3"/>
                    <w:ind w:firstLine="420"/>
                    <w:jc w:val="left"/>
                  </w:pPr>
                  <w:r>
                    <w:rPr>
                      <w:rFonts w:ascii="仿宋_GB2312" w:hAnsi="仿宋_GB2312" w:cs="仿宋_GB2312" w:eastAsia="仿宋_GB2312"/>
                      <w:sz w:val="21"/>
                    </w:rPr>
                    <w:t>1.测试环境搭建：确保扩建后的陕西省非税暨票据管理一体化平台—非税收入电子化收缴模块的测试环境与非税暨票据管理一体化平台的测试环境在配置、网络条件、安全策略等方面保持一致。</w:t>
                  </w:r>
                </w:p>
                <w:p>
                  <w:pPr>
                    <w:pStyle w:val="null3"/>
                    <w:ind w:firstLine="420"/>
                    <w:jc w:val="left"/>
                  </w:pPr>
                  <w:r>
                    <w:rPr>
                      <w:rFonts w:ascii="仿宋_GB2312" w:hAnsi="仿宋_GB2312" w:cs="仿宋_GB2312" w:eastAsia="仿宋_GB2312"/>
                      <w:sz w:val="21"/>
                    </w:rPr>
                    <w:t>2.测试用例设计：根据功能扩建的要求，设计覆盖新功能和原有功能的测试用例。重点关注扩建部分与原有系统的交互点，确保两者之间的数据交换、流程衔接无误。</w:t>
                  </w:r>
                </w:p>
                <w:p>
                  <w:pPr>
                    <w:pStyle w:val="null3"/>
                    <w:ind w:firstLine="420"/>
                    <w:jc w:val="left"/>
                  </w:pPr>
                  <w:r>
                    <w:rPr>
                      <w:rFonts w:ascii="仿宋_GB2312" w:hAnsi="仿宋_GB2312" w:cs="仿宋_GB2312" w:eastAsia="仿宋_GB2312"/>
                      <w:sz w:val="21"/>
                    </w:rPr>
                    <w:t>3.测试账号管理：为测试人员分配具有适当权限的测试账号，确保他们能够执行所需的测试操作。</w:t>
                  </w:r>
                </w:p>
                <w:p>
                  <w:pPr>
                    <w:pStyle w:val="null3"/>
                    <w:ind w:firstLine="420"/>
                    <w:jc w:val="left"/>
                  </w:pPr>
                  <w:r>
                    <w:rPr>
                      <w:rFonts w:ascii="仿宋_GB2312" w:hAnsi="仿宋_GB2312" w:cs="仿宋_GB2312" w:eastAsia="仿宋_GB2312"/>
                      <w:sz w:val="21"/>
                    </w:rPr>
                    <w:t>4.测试地址配置：确保测试地址的准确性和可达性，以便测试人员能够顺利访问扩建后的系统进行测试。</w:t>
                  </w:r>
                </w:p>
                <w:p>
                  <w:pPr>
                    <w:pStyle w:val="null3"/>
                    <w:ind w:firstLine="420"/>
                    <w:jc w:val="left"/>
                  </w:pPr>
                  <w:r>
                    <w:rPr>
                      <w:rFonts w:ascii="仿宋_GB2312" w:hAnsi="仿宋_GB2312" w:cs="仿宋_GB2312" w:eastAsia="仿宋_GB2312"/>
                      <w:sz w:val="21"/>
                    </w:rPr>
                    <w:t>5.测试标准统一：制定统一的测试标准和规范，确保扩建后的陕西省非税暨票据管理一体化平台—非税收入电子化收缴模块的测试工作与陕西省非税暨票据管理一体化平台保持一致。使用相同的缺陷管理工具和流程来记录、跟踪和修复测试中发现的问题。</w:t>
                  </w:r>
                </w:p>
                <w:p>
                  <w:pPr>
                    <w:pStyle w:val="null3"/>
                    <w:ind w:firstLine="420"/>
                    <w:jc w:val="left"/>
                  </w:pPr>
                  <w:r>
                    <w:rPr>
                      <w:rFonts w:ascii="仿宋_GB2312" w:hAnsi="仿宋_GB2312" w:cs="仿宋_GB2312" w:eastAsia="仿宋_GB2312"/>
                      <w:sz w:val="21"/>
                    </w:rPr>
                    <w:t>通过以上软件测试流程，可以确保陕西省非税暨票据管理一体化平台—非税收入电子化收缴模块的扩建工作与原有陕西省非税暨票据管理一体化平台在软件测试方面保持一致，满足系统扩建要求。</w:t>
                  </w:r>
                </w:p>
                <w:p>
                  <w:pPr>
                    <w:pStyle w:val="null3"/>
                    <w:numPr>
                      <w:ilvl w:val="0"/>
                      <w:numId w:val="1"/>
                    </w:numPr>
                  </w:pPr>
                  <w:r>
                    <w:rPr>
                      <w:rFonts w:ascii="仿宋_GB2312" w:hAnsi="仿宋_GB2312" w:cs="仿宋_GB2312" w:eastAsia="仿宋_GB2312"/>
                      <w:sz w:val="21"/>
                      <w:b/>
                    </w:rPr>
                    <w:t>实施及服务需求</w:t>
                  </w:r>
                </w:p>
                <w:p>
                  <w:pPr>
                    <w:pStyle w:val="null3"/>
                    <w:ind w:firstLine="420"/>
                    <w:jc w:val="both"/>
                  </w:pPr>
                  <w:r>
                    <w:rPr>
                      <w:rFonts w:ascii="仿宋_GB2312" w:hAnsi="仿宋_GB2312" w:cs="仿宋_GB2312" w:eastAsia="仿宋_GB2312"/>
                      <w:sz w:val="21"/>
                      <w:color w:val="993300"/>
                    </w:rPr>
                    <w:t>（一）实施要求</w:t>
                  </w:r>
                </w:p>
                <w:p>
                  <w:pPr>
                    <w:pStyle w:val="null3"/>
                    <w:ind w:firstLine="420"/>
                    <w:jc w:val="left"/>
                  </w:pPr>
                  <w:r>
                    <w:rPr>
                      <w:rFonts w:ascii="仿宋_GB2312" w:hAnsi="仿宋_GB2312" w:cs="仿宋_GB2312" w:eastAsia="仿宋_GB2312"/>
                      <w:sz w:val="21"/>
                    </w:rPr>
                    <w:t>1.供应商须针对本项目组建项目实施团队，并要求在项目实施期间到现场进行项目实施。</w:t>
                  </w:r>
                </w:p>
                <w:p>
                  <w:pPr>
                    <w:pStyle w:val="null3"/>
                    <w:ind w:firstLine="420"/>
                    <w:jc w:val="left"/>
                  </w:pPr>
                  <w:r>
                    <w:rPr>
                      <w:rFonts w:ascii="仿宋_GB2312" w:hAnsi="仿宋_GB2312" w:cs="仿宋_GB2312" w:eastAsia="仿宋_GB2312"/>
                      <w:sz w:val="21"/>
                    </w:rPr>
                    <w:t>2.供应商须提供专业的培训团队，确保整个项目培训工作的顺利进行。</w:t>
                  </w:r>
                </w:p>
                <w:p>
                  <w:pPr>
                    <w:pStyle w:val="null3"/>
                    <w:ind w:firstLine="420"/>
                    <w:jc w:val="left"/>
                  </w:pPr>
                  <w:r>
                    <w:rPr>
                      <w:rFonts w:ascii="仿宋_GB2312" w:hAnsi="仿宋_GB2312" w:cs="仿宋_GB2312" w:eastAsia="仿宋_GB2312"/>
                      <w:sz w:val="21"/>
                    </w:rPr>
                    <w:t>3.系统需在管理规范、数据库设计规范、数据库表结构、数据质量、系统功能、系统实施等方面完全符合财政部的要求。</w:t>
                  </w:r>
                </w:p>
                <w:p>
                  <w:pPr>
                    <w:pStyle w:val="null3"/>
                    <w:ind w:firstLine="420"/>
                    <w:jc w:val="left"/>
                  </w:pPr>
                  <w:r>
                    <w:rPr>
                      <w:rFonts w:ascii="仿宋_GB2312" w:hAnsi="仿宋_GB2312" w:cs="仿宋_GB2312" w:eastAsia="仿宋_GB2312"/>
                      <w:sz w:val="21"/>
                    </w:rPr>
                    <w:t>4.对于无法按进度要求交付、未满足财政部规范要求视为违约，具体违约责任以合同约定为准。</w:t>
                  </w:r>
                </w:p>
                <w:p>
                  <w:pPr>
                    <w:pStyle w:val="null3"/>
                    <w:ind w:firstLine="420"/>
                    <w:jc w:val="left"/>
                  </w:pPr>
                  <w:r>
                    <w:rPr>
                      <w:rFonts w:ascii="仿宋_GB2312" w:hAnsi="仿宋_GB2312" w:cs="仿宋_GB2312" w:eastAsia="仿宋_GB2312"/>
                      <w:sz w:val="21"/>
                    </w:rPr>
                    <w:t>5.完成历史数据的迁移,确保新旧系统的平稳过渡。</w:t>
                  </w:r>
                </w:p>
                <w:p>
                  <w:pPr>
                    <w:pStyle w:val="null3"/>
                    <w:ind w:firstLine="420"/>
                    <w:jc w:val="left"/>
                  </w:pPr>
                  <w:r>
                    <w:rPr>
                      <w:rFonts w:ascii="仿宋_GB2312" w:hAnsi="仿宋_GB2312" w:cs="仿宋_GB2312" w:eastAsia="仿宋_GB2312"/>
                      <w:sz w:val="21"/>
                    </w:rPr>
                    <w:t>6.完成与外部系统对接。</w:t>
                  </w:r>
                </w:p>
                <w:p>
                  <w:pPr>
                    <w:pStyle w:val="null3"/>
                    <w:ind w:firstLine="420"/>
                    <w:jc w:val="left"/>
                  </w:pPr>
                  <w:r>
                    <w:rPr>
                      <w:rFonts w:ascii="仿宋_GB2312" w:hAnsi="仿宋_GB2312" w:cs="仿宋_GB2312" w:eastAsia="仿宋_GB2312"/>
                      <w:sz w:val="21"/>
                    </w:rPr>
                    <w:t>7.系统实现与陕西预算管理一体化系统对接。</w:t>
                  </w:r>
                </w:p>
                <w:p>
                  <w:pPr>
                    <w:pStyle w:val="null3"/>
                    <w:ind w:firstLine="420"/>
                    <w:jc w:val="left"/>
                  </w:pPr>
                  <w:r>
                    <w:rPr>
                      <w:rFonts w:ascii="仿宋_GB2312" w:hAnsi="仿宋_GB2312" w:cs="仿宋_GB2312" w:eastAsia="仿宋_GB2312"/>
                      <w:sz w:val="21"/>
                    </w:rPr>
                    <w:t>8.此项目为交钥匙工程。</w:t>
                  </w:r>
                </w:p>
                <w:p>
                  <w:pPr>
                    <w:pStyle w:val="null3"/>
                    <w:ind w:firstLine="420"/>
                    <w:jc w:val="both"/>
                  </w:pPr>
                  <w:r>
                    <w:rPr>
                      <w:rFonts w:ascii="仿宋_GB2312" w:hAnsi="仿宋_GB2312" w:cs="仿宋_GB2312" w:eastAsia="仿宋_GB2312"/>
                      <w:sz w:val="21"/>
                      <w:color w:val="993300"/>
                    </w:rPr>
                    <w:t>（二）售后服务要求</w:t>
                  </w:r>
                </w:p>
                <w:p>
                  <w:pPr>
                    <w:pStyle w:val="null3"/>
                    <w:ind w:firstLine="420"/>
                    <w:jc w:val="left"/>
                  </w:pPr>
                  <w:r>
                    <w:rPr>
                      <w:rFonts w:ascii="仿宋_GB2312" w:hAnsi="仿宋_GB2312" w:cs="仿宋_GB2312" w:eastAsia="仿宋_GB2312"/>
                      <w:sz w:val="21"/>
                    </w:rPr>
                    <w:t>1.投标人应在系统终验通过后提供两年免费运维期，免费运维期内负责免费解决系统缺陷、需求实现不完善、性能未达到建设要求等问题，提供用户咨询指导、日常运维、用户问题响应及解决、优化改善及安全漏洞整改类服务，确保系统安全稳定运行；</w:t>
                  </w:r>
                </w:p>
                <w:p>
                  <w:pPr>
                    <w:pStyle w:val="null3"/>
                    <w:ind w:firstLine="420"/>
                    <w:jc w:val="left"/>
                  </w:pPr>
                  <w:r>
                    <w:rPr>
                      <w:rFonts w:ascii="仿宋_GB2312" w:hAnsi="仿宋_GB2312" w:cs="仿宋_GB2312" w:eastAsia="仿宋_GB2312"/>
                      <w:sz w:val="21"/>
                    </w:rPr>
                    <w:t>2.投标人提供应急响应措施，对紧急事件进行应急响应，及时解决应急故障并恢复业务运行。突发故障需到现场的，要求2小时内到甲方指定现场。</w:t>
                  </w:r>
                </w:p>
                <w:p>
                  <w:pPr>
                    <w:pStyle w:val="null3"/>
                    <w:ind w:firstLine="420"/>
                    <w:jc w:val="left"/>
                  </w:pPr>
                  <w:r>
                    <w:rPr>
                      <w:rFonts w:ascii="仿宋_GB2312" w:hAnsi="仿宋_GB2312" w:cs="仿宋_GB2312" w:eastAsia="仿宋_GB2312"/>
                      <w:sz w:val="21"/>
                    </w:rPr>
                    <w:t>3.服务对象</w:t>
                  </w:r>
                </w:p>
                <w:p>
                  <w:pPr>
                    <w:pStyle w:val="null3"/>
                    <w:ind w:firstLine="420"/>
                    <w:jc w:val="left"/>
                  </w:pPr>
                  <w:r>
                    <w:rPr>
                      <w:rFonts w:ascii="仿宋_GB2312" w:hAnsi="仿宋_GB2312" w:cs="仿宋_GB2312" w:eastAsia="仿宋_GB2312"/>
                      <w:sz w:val="21"/>
                    </w:rPr>
                    <w:t>投标人应为所有使用本系统的用户提供服务，服务全省用户。</w:t>
                  </w:r>
                </w:p>
                <w:p>
                  <w:pPr>
                    <w:pStyle w:val="null3"/>
                    <w:ind w:firstLine="420"/>
                    <w:jc w:val="left"/>
                  </w:pPr>
                  <w:r>
                    <w:rPr>
                      <w:rFonts w:ascii="仿宋_GB2312" w:hAnsi="仿宋_GB2312" w:cs="仿宋_GB2312" w:eastAsia="仿宋_GB2312"/>
                      <w:sz w:val="21"/>
                    </w:rPr>
                    <w:t>4.服务方式</w:t>
                  </w:r>
                </w:p>
                <w:p>
                  <w:pPr>
                    <w:pStyle w:val="null3"/>
                    <w:ind w:firstLine="420"/>
                    <w:jc w:val="left"/>
                  </w:pPr>
                  <w:r>
                    <w:rPr>
                      <w:rFonts w:ascii="仿宋_GB2312" w:hAnsi="仿宋_GB2312" w:cs="仿宋_GB2312" w:eastAsia="仿宋_GB2312"/>
                      <w:sz w:val="21"/>
                    </w:rPr>
                    <w:t>（1）阶段性驻场服务。投标人根据业务需求，在业务高峰期时指派不少于三名熟悉本项目建设内容的技术人员，提供驻场运维服务，负责解决用户提出的各类系统相关问题。</w:t>
                  </w:r>
                </w:p>
                <w:p>
                  <w:pPr>
                    <w:pStyle w:val="null3"/>
                    <w:ind w:firstLine="420"/>
                    <w:jc w:val="left"/>
                  </w:pPr>
                  <w:r>
                    <w:rPr>
                      <w:rFonts w:ascii="仿宋_GB2312" w:hAnsi="仿宋_GB2312" w:cs="仿宋_GB2312" w:eastAsia="仿宋_GB2312"/>
                      <w:sz w:val="21"/>
                    </w:rPr>
                    <w:t>（2）现场服务。用户在系统应用中出现问题，技术人员无法通过非现场服务处理时，根据用户的要求，投标人派运维技术人员上门现场服务，解决用户问题。</w:t>
                  </w:r>
                </w:p>
                <w:p>
                  <w:pPr>
                    <w:pStyle w:val="null3"/>
                    <w:ind w:firstLine="420"/>
                    <w:jc w:val="left"/>
                  </w:pPr>
                  <w:r>
                    <w:rPr>
                      <w:rFonts w:ascii="仿宋_GB2312" w:hAnsi="仿宋_GB2312" w:cs="仿宋_GB2312" w:eastAsia="仿宋_GB2312"/>
                      <w:sz w:val="21"/>
                    </w:rPr>
                    <w:t>（3）远程技术支持服务。提供远程技术支持服务，解决驻场人员无法解决的问题。</w:t>
                  </w:r>
                </w:p>
                <w:p>
                  <w:pPr>
                    <w:pStyle w:val="null3"/>
                    <w:numPr>
                      <w:ilvl w:val="0"/>
                      <w:numId w:val="1"/>
                    </w:numPr>
                  </w:pPr>
                  <w:r>
                    <w:rPr>
                      <w:rFonts w:ascii="仿宋_GB2312" w:hAnsi="仿宋_GB2312" w:cs="仿宋_GB2312" w:eastAsia="仿宋_GB2312"/>
                      <w:sz w:val="21"/>
                      <w:b/>
                    </w:rPr>
                    <w:t>项目开发期限</w:t>
                  </w:r>
                </w:p>
                <w:p>
                  <w:pPr>
                    <w:pStyle w:val="null3"/>
                    <w:ind w:firstLine="420"/>
                    <w:jc w:val="left"/>
                  </w:pPr>
                  <w:r>
                    <w:rPr>
                      <w:rFonts w:ascii="仿宋_GB2312" w:hAnsi="仿宋_GB2312" w:cs="仿宋_GB2312" w:eastAsia="仿宋_GB2312"/>
                      <w:sz w:val="21"/>
                    </w:rPr>
                    <w:t>开发周期：自签订合同之日起120天。</w:t>
                  </w:r>
                </w:p>
                <w:p>
                  <w:pPr>
                    <w:pStyle w:val="null3"/>
                    <w:ind w:firstLine="420"/>
                    <w:jc w:val="left"/>
                  </w:pPr>
                  <w:r>
                    <w:rPr>
                      <w:rFonts w:ascii="仿宋_GB2312" w:hAnsi="仿宋_GB2312" w:cs="仿宋_GB2312" w:eastAsia="仿宋_GB2312"/>
                      <w:sz w:val="21"/>
                    </w:rPr>
                    <w:t>部署地点：陕西省财政厅指定地点。</w:t>
                  </w:r>
                </w:p>
                <w:p>
                  <w:pPr>
                    <w:pStyle w:val="null3"/>
                    <w:numPr>
                      <w:ilvl w:val="0"/>
                      <w:numId w:val="1"/>
                    </w:numPr>
                  </w:pPr>
                  <w:r>
                    <w:rPr>
                      <w:rFonts w:ascii="仿宋_GB2312" w:hAnsi="仿宋_GB2312" w:cs="仿宋_GB2312" w:eastAsia="仿宋_GB2312"/>
                      <w:sz w:val="21"/>
                      <w:b/>
                    </w:rPr>
                    <w:t>验收要求</w:t>
                  </w:r>
                </w:p>
                <w:p>
                  <w:pPr>
                    <w:pStyle w:val="null3"/>
                    <w:ind w:firstLine="420"/>
                    <w:jc w:val="both"/>
                  </w:pPr>
                  <w:r>
                    <w:rPr>
                      <w:rFonts w:ascii="仿宋_GB2312" w:hAnsi="仿宋_GB2312" w:cs="仿宋_GB2312" w:eastAsia="仿宋_GB2312"/>
                      <w:sz w:val="21"/>
                      <w:color w:val="993300"/>
                    </w:rPr>
                    <w:t>（一）验收分为初验、终验、竣工验收</w:t>
                  </w:r>
                </w:p>
                <w:p>
                  <w:pPr>
                    <w:pStyle w:val="null3"/>
                    <w:ind w:firstLine="420"/>
                    <w:jc w:val="left"/>
                  </w:pPr>
                  <w:r>
                    <w:rPr>
                      <w:rFonts w:ascii="仿宋_GB2312" w:hAnsi="仿宋_GB2312" w:cs="仿宋_GB2312" w:eastAsia="仿宋_GB2312"/>
                      <w:sz w:val="21"/>
                    </w:rPr>
                    <w:t>1.初验:乙方完成系统开发测试工作后，自检验收通过，并达到初验要求，提交验收申请和验收方案，甲方可根据合同及技术要求对验收方案进行修改和补充，经双方确认后形成验收文件作为验收依据，此后由甲方组织项目初步验收，甲方、监理单位、实施单位参加验收。</w:t>
                  </w:r>
                </w:p>
                <w:p>
                  <w:pPr>
                    <w:pStyle w:val="null3"/>
                    <w:ind w:firstLine="420"/>
                    <w:jc w:val="left"/>
                  </w:pPr>
                  <w:r>
                    <w:rPr>
                      <w:rFonts w:ascii="仿宋_GB2312" w:hAnsi="仿宋_GB2312" w:cs="仿宋_GB2312" w:eastAsia="仿宋_GB2312"/>
                      <w:sz w:val="21"/>
                    </w:rPr>
                    <w:t>2.终验：项目满足正式验收条件后，乙方提交验收申请和验收文件，由专家对本项目进行最终验收，出具验收意见。甲方、监理单位、乙方参加验收。验收通过之日起合同标的所有权由乙方移交至甲方。</w:t>
                  </w:r>
                </w:p>
                <w:p>
                  <w:pPr>
                    <w:pStyle w:val="null3"/>
                    <w:ind w:firstLine="420"/>
                    <w:jc w:val="left"/>
                  </w:pPr>
                  <w:r>
                    <w:rPr>
                      <w:rFonts w:ascii="仿宋_GB2312" w:hAnsi="仿宋_GB2312" w:cs="仿宋_GB2312" w:eastAsia="仿宋_GB2312"/>
                      <w:sz w:val="21"/>
                    </w:rPr>
                    <w:t>项目最终验收时需提交的主要技术成果有：</w:t>
                  </w:r>
                </w:p>
                <w:p>
                  <w:pPr>
                    <w:pStyle w:val="null3"/>
                    <w:ind w:firstLine="420"/>
                    <w:jc w:val="left"/>
                  </w:pPr>
                  <w:r>
                    <w:rPr>
                      <w:rFonts w:ascii="仿宋_GB2312" w:hAnsi="仿宋_GB2312" w:cs="仿宋_GB2312" w:eastAsia="仿宋_GB2312"/>
                      <w:sz w:val="21"/>
                    </w:rPr>
                    <w:t>（1)项目建设成果（应包括:系统建设所有的软件、应用系统部署、标准规范、技术与操作使用文档以及合同中约定的其他内容等）。</w:t>
                  </w:r>
                </w:p>
                <w:p>
                  <w:pPr>
                    <w:pStyle w:val="null3"/>
                    <w:ind w:firstLine="420"/>
                    <w:jc w:val="left"/>
                  </w:pPr>
                  <w:r>
                    <w:rPr>
                      <w:rFonts w:ascii="仿宋_GB2312" w:hAnsi="仿宋_GB2312" w:cs="仿宋_GB2312" w:eastAsia="仿宋_GB2312"/>
                      <w:sz w:val="21"/>
                    </w:rPr>
                    <w:t>（2)系统涉及的所有应用软件的安装盘。</w:t>
                  </w:r>
                </w:p>
                <w:p>
                  <w:pPr>
                    <w:pStyle w:val="null3"/>
                    <w:ind w:firstLine="420"/>
                    <w:jc w:val="left"/>
                  </w:pPr>
                  <w:r>
                    <w:rPr>
                      <w:rFonts w:ascii="仿宋_GB2312" w:hAnsi="仿宋_GB2312" w:cs="仿宋_GB2312" w:eastAsia="仿宋_GB2312"/>
                      <w:sz w:val="21"/>
                    </w:rPr>
                    <w:t>（3)主要技术文档包括但不限于：应用系统安装部署手册、应用系统功能测试方案及测试报告、用户使用手册、应用系统培训方案、应用系统数据字典、软件产品和应用系统配置管理手册及政府采购项目验收所需的其它文档资料等。</w:t>
                  </w:r>
                </w:p>
                <w:p>
                  <w:pPr>
                    <w:pStyle w:val="null3"/>
                    <w:ind w:firstLine="420"/>
                    <w:jc w:val="left"/>
                  </w:pPr>
                  <w:r>
                    <w:rPr>
                      <w:rFonts w:ascii="仿宋_GB2312" w:hAnsi="仿宋_GB2312" w:cs="仿宋_GB2312" w:eastAsia="仿宋_GB2312"/>
                      <w:sz w:val="21"/>
                    </w:rPr>
                    <w:t>3.竣工验收：项目满足竣工验收条件后，财政厅提交验收申请报省数政局，由其组织相关专家和单位对本项目进行竣工验收，并出具竣工验收意见。甲方、监理单位、乙方及相关单位参加验收。</w:t>
                  </w:r>
                </w:p>
                <w:p>
                  <w:pPr>
                    <w:pStyle w:val="null3"/>
                    <w:ind w:firstLine="420"/>
                    <w:jc w:val="both"/>
                  </w:pPr>
                  <w:r>
                    <w:rPr>
                      <w:rFonts w:ascii="仿宋_GB2312" w:hAnsi="仿宋_GB2312" w:cs="仿宋_GB2312" w:eastAsia="仿宋_GB2312"/>
                      <w:sz w:val="21"/>
                      <w:color w:val="993300"/>
                    </w:rPr>
                    <w:t>（二）验收依据</w:t>
                  </w:r>
                </w:p>
                <w:p>
                  <w:pPr>
                    <w:pStyle w:val="null3"/>
                    <w:ind w:firstLine="420"/>
                    <w:jc w:val="left"/>
                  </w:pPr>
                  <w:r>
                    <w:rPr>
                      <w:rFonts w:ascii="仿宋_GB2312" w:hAnsi="仿宋_GB2312" w:cs="仿宋_GB2312" w:eastAsia="仿宋_GB2312"/>
                      <w:sz w:val="21"/>
                    </w:rPr>
                    <w:t>1.本合同及附加文本；</w:t>
                  </w:r>
                </w:p>
                <w:p>
                  <w:pPr>
                    <w:pStyle w:val="null3"/>
                    <w:ind w:firstLine="420"/>
                    <w:jc w:val="both"/>
                  </w:pPr>
                  <w:r>
                    <w:rPr>
                      <w:rFonts w:ascii="仿宋_GB2312" w:hAnsi="仿宋_GB2312" w:cs="仿宋_GB2312" w:eastAsia="仿宋_GB2312"/>
                      <w:sz w:val="21"/>
                    </w:rPr>
                    <w:t>2.招标文件、中标人的投标文件及澄清（承诺）函；</w:t>
                  </w:r>
                </w:p>
                <w:p>
                  <w:pPr>
                    <w:pStyle w:val="null3"/>
                    <w:ind w:firstLine="420"/>
                    <w:jc w:val="both"/>
                  </w:pPr>
                  <w:r>
                    <w:rPr>
                      <w:rFonts w:ascii="仿宋_GB2312" w:hAnsi="仿宋_GB2312" w:cs="仿宋_GB2312" w:eastAsia="仿宋_GB2312"/>
                      <w:sz w:val="21"/>
                    </w:rPr>
                    <w:t>3.国家相应的标准、规范；</w:t>
                  </w:r>
                </w:p>
                <w:p>
                  <w:pPr>
                    <w:pStyle w:val="null3"/>
                    <w:ind w:firstLine="420"/>
                    <w:jc w:val="both"/>
                  </w:pPr>
                  <w:r>
                    <w:rPr>
                      <w:rFonts w:ascii="仿宋_GB2312" w:hAnsi="仿宋_GB2312" w:cs="仿宋_GB2312" w:eastAsia="仿宋_GB2312"/>
                      <w:sz w:val="21"/>
                    </w:rPr>
                    <w:t>4.陕西省省级政务信息化项目竣工验收管理办法（试行）。</w:t>
                  </w:r>
                </w:p>
                <w:p>
                  <w:pPr>
                    <w:pStyle w:val="null3"/>
                    <w:ind w:firstLine="420"/>
                    <w:jc w:val="both"/>
                  </w:pPr>
                  <w:r>
                    <w:rPr>
                      <w:rFonts w:ascii="仿宋_GB2312" w:hAnsi="仿宋_GB2312" w:cs="仿宋_GB2312" w:eastAsia="仿宋_GB2312"/>
                      <w:sz w:val="21"/>
                    </w:rPr>
                    <w:t>5、陕数政发【2025】15号《陕西省省级政务应用系统上线下线安全检查管理细则》。</w:t>
                  </w:r>
                </w:p>
                <w:p>
                  <w:pPr>
                    <w:pStyle w:val="null3"/>
                    <w:numPr>
                      <w:ilvl w:val="0"/>
                      <w:numId w:val="1"/>
                    </w:numPr>
                  </w:pPr>
                  <w:r>
                    <w:rPr>
                      <w:rFonts w:ascii="仿宋_GB2312" w:hAnsi="仿宋_GB2312" w:cs="仿宋_GB2312" w:eastAsia="仿宋_GB2312"/>
                      <w:sz w:val="21"/>
                      <w:b/>
                    </w:rPr>
                    <w:t>保密要求</w:t>
                  </w:r>
                </w:p>
                <w:p>
                  <w:pPr>
                    <w:pStyle w:val="null3"/>
                    <w:ind w:firstLine="420"/>
                    <w:jc w:val="both"/>
                  </w:pPr>
                  <w:r>
                    <w:rPr>
                      <w:rFonts w:ascii="仿宋_GB2312" w:hAnsi="仿宋_GB2312" w:cs="仿宋_GB2312" w:eastAsia="仿宋_GB2312"/>
                      <w:sz w:val="21"/>
                    </w:rPr>
                    <w:t>1.投标人应签订保密协议，对其因身份、职务、职业或技术关系而知悉的采购人商业秘密和党政机关保密信息应严格保守，保证不被披露或使用，包括意外或过失。</w:t>
                  </w:r>
                </w:p>
                <w:p>
                  <w:pPr>
                    <w:pStyle w:val="null3"/>
                    <w:ind w:firstLine="420"/>
                    <w:jc w:val="both"/>
                  </w:pPr>
                  <w:r>
                    <w:rPr>
                      <w:rFonts w:ascii="仿宋_GB2312" w:hAnsi="仿宋_GB2312" w:cs="仿宋_GB2312" w:eastAsia="仿宋_GB2312"/>
                      <w:sz w:val="21"/>
                    </w:rPr>
                    <w:t>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应答人在从事政府项目时，不得擅自记录、复制、拍摄、摘抄、收藏在工作中涉及的保密信息，严禁将涉及政府项目的任何资料、数据透露或以其他方式提供给项目以外的其他方或应答人内部与该项目无关的任何人员。</w:t>
                  </w:r>
                </w:p>
                <w:p>
                  <w:pPr>
                    <w:pStyle w:val="null3"/>
                    <w:ind w:firstLine="420"/>
                    <w:jc w:val="both"/>
                  </w:pPr>
                  <w:r>
                    <w:rPr>
                      <w:rFonts w:ascii="仿宋_GB2312" w:hAnsi="仿宋_GB2312" w:cs="仿宋_GB2312" w:eastAsia="仿宋_GB2312"/>
                      <w:sz w:val="21"/>
                    </w:rPr>
                    <w:t>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rFonts w:ascii="仿宋_GB2312" w:hAnsi="仿宋_GB2312" w:cs="仿宋_GB2312" w:eastAsia="仿宋_GB2312"/>
                      <w:sz w:val="21"/>
                    </w:rPr>
                    <w:t>4.严禁泄露在工作中接触到的政府机关科技研究、发明、</w:t>
                  </w:r>
                </w:p>
                <w:p>
                  <w:pPr>
                    <w:pStyle w:val="null3"/>
                    <w:ind w:firstLine="420"/>
                  </w:pPr>
                  <w:r>
                    <w:rPr>
                      <w:rFonts w:ascii="仿宋_GB2312" w:hAnsi="仿宋_GB2312" w:cs="仿宋_GB2312" w:eastAsia="仿宋_GB2312"/>
                      <w:sz w:val="21"/>
                    </w:rPr>
                    <w:t>装备器材及其技术资料和政府工作信息。</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项目验收按照《陕西省省级政务信息化项目建设管理办法(暂行))(陕政办发 (2022）19号)及陕西省财政厅项目验收的有关规定执行，项目验收的具体组织工作由甲方负责，同时应遵循下列标准： （1）实现合同和根据招标文件所编写的投标文件中列举的全部内容。 （2）项目验收包括按照合同和根据招标文件所编写的投标文件中相关的技术文档、培训教材、使用说明书及相关验收管理办法所要求的全部文档。 （3）若涉及软件开发服务（除软件租赁服务），乙方需按甲方要求提供软件开发服务的全套源代码；若涉及系统运营服务，乙方需按甲方要求及时移交系统超级管理员权限。 （4）乙方必须按甲方要求规范平台接入管理，不得在未经甲方同意情况下，擅自将本项目实施系统与其他系统或应用做对接。 （5）乙方必须配合甲方完成档案验收及竣工验收。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 ，达到付款条件起30日内，支付合同总金额的30%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项目初验通过后，乙方书面提出支付申请函及与支付金额等额的增值税普通发票，甲方确认后启动支付流程，达到付款条件起30日内，支付合同总金额的 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本项目经甲方终验通过后，乙方书面提出支付申请函及与支付金额等额的增值税普通发票，甲方确认后启动尾款支付流程，达到付款条件起30日内，支付合同总金额的30%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联合体各方必须签订联合体协议书，明确联合体牵头方和各方权利、义务及分工、合同工作量比例；2.若联合体投标时须明确联合体牵头方，联合体牵头方代表联合体各方办理本项目招投标活动过程中的一切事务。3.中标方为联合体中标的，合同款项结算只针对联合体牵头方（乙方）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投标人在递交响应文件截止时间前被“信用中国 ” 网站（www.creditchina.gov.cn）和中国政府采购网（www.ccgp.gov.cn）上被列入失信被执行人、重大税收违法失信主体、政府采购 严重违法失信行为记录名单的，不得参加投标</w:t>
            </w:r>
          </w:p>
        </w:tc>
        <w:tc>
          <w:tcPr>
            <w:tcW w:type="dxa" w:w="1661"/>
          </w:tcPr>
          <w:p>
            <w:pPr>
              <w:pStyle w:val="null3"/>
            </w:pPr>
            <w:r>
              <w:rPr>
                <w:rFonts w:ascii="仿宋_GB2312" w:hAnsi="仿宋_GB2312" w:cs="仿宋_GB2312" w:eastAsia="仿宋_GB2312"/>
              </w:rPr>
              <w:t>其他资格证明文件.docx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服务内容及服务邀请应答表 投标函 商务应答表 服务方案 标的清单 投标文件封面 拟投入专业人员.docx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遵循公平竞争的原则，没有弄虚作假、恶意串通或妨碍其他投标人的竞争行为，损害招标人或者其他投标人的合法权益。</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投标单位或联合体牵头方结合采购需求进行自主调研，并对现有项目建设以及可能后续进行的项目扩展优化等进行梳理。要求对项目建设需求充分理解，对政策把握准确，并结合现状，提出现阶段存在的问题。 （1）方案逻辑层次清晰、针对性强、解决方案科学合理得3分； （2）方案逻辑层一般、针对性一般，解决方案合理得2分； （3）方案逻辑混乱、针对性差、解决方案较差，得1分。 （4）未提供的得0分。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系统功能设计方案</w:t>
            </w:r>
          </w:p>
        </w:tc>
        <w:tc>
          <w:tcPr>
            <w:tcW w:type="dxa" w:w="2492"/>
          </w:tcPr>
          <w:p>
            <w:pPr>
              <w:pStyle w:val="null3"/>
            </w:pPr>
            <w:r>
              <w:rPr>
                <w:rFonts w:ascii="仿宋_GB2312" w:hAnsi="仿宋_GB2312" w:cs="仿宋_GB2312" w:eastAsia="仿宋_GB2312"/>
              </w:rPr>
              <w:t>一、针对本项目各模块系统功能设计制定合理的设计方案方案，包括但不限于以下模块内容：①电子缴款书功能②非税收入电子化缴库功能③全省交通违法缴款二次对账功能；④财政专户管理资金数据对接；⑤电子凭证库；⑥电子签章；⑦陕西省财政非税直缴电子化项目人行端功能；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三、赋分标准（满分21分） ①电子缴款书功能：每满足一个评审标准得1分，不满足得0分，满分3分； ②非税收入电子化缴库功能：每满足一个评审标准得1分，不满足得0分，满分3分； ③全省交通违法缴款二次对账功能：每满足一个评审标准得1分，不满足得0分，满分3分； ④财政专户管理资金数据对接：每满足一个评审标准得1分，不满足得0分，满分3分； ⑤电子凭证库：每满足一个评审标准得1分，不满足得0分，满分3分； ⑥电子签章：每满足一个评审标准得1分，不满足得0分，满分3分； ⑦陕西省财政非税直缴电子化项目人行端功能：每满足一个评审标准得1分，不满足得0分，满分3分；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一、针对本项目整体实施制定合理的方案，包括但不限于以下内容：①整体目标及思路②质量保证措施；③进度保证措施，④系统安全保障措施；⑤国产化适配改造方案，并按照以下标准评审：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三、赋分标准（满分15分） ①整体目标及思路：每满足一个评审标准得1分，不满足得0分，满分3分； ②质量保证措施：每满足一个评审标准得1分，不满足得0分，满分3分； ③进度保证措施：每满足一个评审标准得1分，不满足得0分，满分3分； ④系统安全保障措施：每满足一个评审标准得1分，不满足得0分，满分3分； ⑤国产化适配改造方案：每满足一个评审标准得1分，不满足得0分，满分3分；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投标单位或联合体牵头方专业技术人员实力： 1.拟派项目负责人具备高级工程师职称的得2分； 2.投标单位或联合体牵头方拟派项目组成员（不含负责人）具备中级及以上职称的，每提供1名得1分，最高得5分，不提供不得分； 3.投标单位或联合体牵头方拟派项目组成员具备与项目实施有关的技术证书（包括并不限于软件评测师、软件设计师、软件过程能力评估师、信息系统管理工程师、信息技术支持工程师、信息安全工程师等），每提供1个得0.5分，最多得3分，不提供不得分； 4、投标单位或联合体牵头方拟派项目组成员具备同类项目经验的，每有一人满足得0.5分，最多得2分，不提供不得分； 注：项目组成员须提供近三个月的社保证明或劳务合同；职称及证书须提供加盖公章的证书复印件或官网查询截图；项目经理提供合同或项目验收资料或业主证明资料均可，须体现成员姓名；不满足上述要求的评审不予认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投标单位或联合体牵头方针对本项目提出应急预案内容符合采购人需求且详细完善，涵盖了可能出现的各类突发事件，并按以下标准评审： （1）方案完整，对事件的应急响应流程、责任分工、应急资源调配等方面有明确规定、针对性及科学合理的得5分； （2）方案完整性较高，对常见突发事件有一定的考虑，可实施性清晰较合理，针对性一般的得4分； （3）方案完整性不高，可实施性一般，对事件的分析和应对措施缺乏针对性的得3分； （4）方案仅简单说明，方案措施不完整、不清晰的得2分， （5）未提供不得分。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根据投标单位或联合体牵头方提供的保密措施，由评标委员会进行综合评审： （1）保密措施完善周密、针对性强、可操作性强；完全满足项目保密要求的，得5分； （2）保密措施合理可行、覆盖主要环节；能提出有效管理手段，基本满足项目保密要求的，得4分； （3）保密措施具备基本框架、内容基本可行；基本满足项目保密要求的，得3分； （4）保密措施有待完善和优化；存在明显不足，不能确保完全满足项目保密要求的，得2分； （5）保密措施严重缺失或不完善；无法满足项目基本保密要求的，得1分； 未提供保密管理措施方案的，得0分。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根据投标单位或联合体牵头方提供的合理化建议，由评标委员会进行综合评审： （1）合理化建议有针对性、可行性强；完全满足项目需求的，得5分； （2）合理化建议合理可行；能提出部分有利于项目实施的建议，满足项目需求的，得4分； （3）合理化建议基本可行；基本满足项目需求的，得3分； （4）合理化建议有待完善、优化；不能确保完全满足项目需求的，得2分； （5）合理化建议不够充分、完善；无法满足项目需求的，得1分；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一、投标单位或联合体牵头方针对本项目提供详细售后服务方案，包括但不限于①售后服务范围及保障措施②售后服务流程③售后服务响应时间及响应方式；并按以下标准评审： 二、评审标准 1、完整性：方案必须全面，对评审内容中的各项要求有详细描述； 2、可实施性：切合本项目实际情况，提出步骤清晰、合理的方案； 3、针对性：方案能够紧扣项目实际情况，内容科学合理。 三、赋分标准（满分6分） ①售后服务范围及保障措施：每满足一个评审标准得1分，不满足得0分，满分3分； ②售后服务流程：每满足一个评审标准得0.5分，不满足得0分，满分1.5分； ③售后服务响应时间及响应方式：每满足一个评审标准得0.5分，不满足得0分，满分1.5分。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一、投标单位或联合体牵头方针对本项目提供详细培训方案，包括但不限于①培训范围及内容②培训方式及周期；并按以下标准评审： 二、评审标准 1、完整性：方案必须全面，对评审内容中的各项要求有详细描述； 2、可实施性：切合本项目实际情况，提出步骤清晰、合理的方案； 3、针对性：方案能够紧扣项目实际情况，内容科学合理。 三、赋分标准（满分3分） ①培训范围及内容：每满足一个评审标准得0.5分，不满足得0分，满分1.5分； ②培训方式及周期：每满足一个评审标准得0.5分，不满足得0分，满分1.5分；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投标单位或联合体牵头方提供2022年1月1日至今同类或者类似建设或者服务项目的业绩：每提供一项得1分，最多得5分（以合同复印件为准，时间以合同签订时间为准，否则不得分）。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2、有效最低报价为评标基准价，其价格分为满分20分。其他投标人的价格分统一按照下列公式计算:报价得分=(有效最低投标报价/有效投标报价)*20。投标报价不完整的，不进入评标基准价的计算，本项得0分。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