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F77F7D">
      <w:pPr>
        <w:pStyle w:val="2"/>
      </w:pPr>
      <w:r>
        <w:rPr>
          <w:rFonts w:ascii="宋体" w:hAnsi="宋体" w:eastAsia="宋体" w:cs="宋体"/>
          <w:spacing w:val="6"/>
          <w:sz w:val="31"/>
          <w:szCs w:val="31"/>
        </w:rPr>
        <w:t>拟签订合同文本</w:t>
      </w:r>
    </w:p>
    <w:p w14:paraId="7A639169">
      <w:pPr>
        <w:keepNext w:val="0"/>
        <w:keepLines w:val="0"/>
        <w:pageBreakBefore w:val="0"/>
        <w:kinsoku/>
        <w:wordWrap/>
        <w:overflowPunct/>
        <w:topLinePunct w:val="0"/>
        <w:autoSpaceDE/>
        <w:autoSpaceDN/>
        <w:bidi w:val="0"/>
        <w:adjustRightInd/>
        <w:snapToGrid/>
        <w:spacing w:line="360" w:lineRule="auto"/>
        <w:ind w:left="0" w:leftChars="0" w:right="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甲方（委托方）：</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2B27AFD1">
      <w:pPr>
        <w:keepNext w:val="0"/>
        <w:keepLines w:val="0"/>
        <w:pageBreakBefore w:val="0"/>
        <w:kinsoku/>
        <w:wordWrap/>
        <w:overflowPunct/>
        <w:topLinePunct w:val="0"/>
        <w:autoSpaceDE/>
        <w:autoSpaceDN/>
        <w:bidi w:val="0"/>
        <w:adjustRightInd/>
        <w:snapToGrid/>
        <w:spacing w:line="360" w:lineRule="auto"/>
        <w:ind w:left="0" w:leftChars="0" w:right="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w:t>
      </w:r>
      <w:r>
        <w:rPr>
          <w:rFonts w:hint="eastAsia" w:ascii="宋体" w:hAnsi="宋体" w:eastAsia="宋体" w:cs="宋体"/>
          <w:color w:val="auto"/>
          <w:sz w:val="21"/>
          <w:szCs w:val="21"/>
          <w:highlight w:val="none"/>
          <w:lang w:eastAsia="zh-CN"/>
        </w:rPr>
        <w:t>受托</w:t>
      </w:r>
      <w:r>
        <w:rPr>
          <w:rFonts w:hint="eastAsia" w:ascii="宋体" w:hAnsi="宋体" w:eastAsia="宋体" w:cs="宋体"/>
          <w:color w:val="auto"/>
          <w:sz w:val="21"/>
          <w:szCs w:val="21"/>
          <w:highlight w:val="none"/>
        </w:rPr>
        <w:t>方）：</w:t>
      </w:r>
      <w:r>
        <w:rPr>
          <w:rFonts w:hint="eastAsia" w:ascii="宋体" w:hAnsi="宋体" w:eastAsia="宋体" w:cs="宋体"/>
          <w:color w:val="auto"/>
          <w:sz w:val="21"/>
          <w:szCs w:val="21"/>
          <w:highlight w:val="none"/>
          <w:u w:val="single"/>
        </w:rPr>
        <w:t xml:space="preserve">                     </w:t>
      </w:r>
    </w:p>
    <w:p w14:paraId="2F826FE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b w:val="0"/>
          <w:color w:val="auto"/>
          <w:kern w:val="0"/>
          <w:sz w:val="21"/>
          <w:szCs w:val="21"/>
          <w:highlight w:val="none"/>
          <w:lang w:val="en-US" w:eastAsia="zh-CN" w:bidi="ar-SA"/>
        </w:rPr>
      </w:pPr>
      <w:r>
        <w:rPr>
          <w:rFonts w:hint="eastAsia" w:ascii="宋体" w:hAnsi="宋体" w:eastAsia="宋体" w:cs="宋体"/>
          <w:b w:val="0"/>
          <w:color w:val="auto"/>
          <w:kern w:val="0"/>
          <w:sz w:val="21"/>
          <w:szCs w:val="21"/>
          <w:highlight w:val="none"/>
          <w:lang w:val="en-US" w:eastAsia="zh-CN" w:bidi="ar-SA"/>
        </w:rPr>
        <w:t>根据《中华人民共和国民法典》、《中华人民共和国政府采购法》与项目行业有关的法律法规，以及本项目</w:t>
      </w:r>
      <w:r>
        <w:rPr>
          <w:rFonts w:hint="eastAsia" w:ascii="宋体" w:hAnsi="宋体" w:eastAsia="宋体" w:cs="宋体"/>
          <w:b w:val="0"/>
          <w:color w:val="auto"/>
          <w:kern w:val="0"/>
          <w:sz w:val="21"/>
          <w:szCs w:val="21"/>
          <w:highlight w:val="none"/>
          <w:u w:val="single"/>
          <w:lang w:val="en-US" w:eastAsia="zh-CN" w:bidi="ar-SA"/>
        </w:rPr>
        <w:t xml:space="preserve">  </w:t>
      </w:r>
      <w:r>
        <w:rPr>
          <w:rFonts w:hint="eastAsia" w:ascii="宋体" w:hAnsi="宋体" w:cs="宋体"/>
          <w:b w:val="0"/>
          <w:color w:val="auto"/>
          <w:kern w:val="0"/>
          <w:sz w:val="21"/>
          <w:szCs w:val="21"/>
          <w:highlight w:val="none"/>
          <w:u w:val="single"/>
          <w:lang w:val="en-US" w:eastAsia="zh-CN" w:bidi="ar-SA"/>
        </w:rPr>
        <w:t xml:space="preserve">  </w:t>
      </w:r>
      <w:r>
        <w:rPr>
          <w:rFonts w:hint="eastAsia" w:ascii="宋体" w:hAnsi="宋体" w:eastAsia="宋体" w:cs="宋体"/>
          <w:b w:val="0"/>
          <w:color w:val="auto"/>
          <w:kern w:val="0"/>
          <w:sz w:val="21"/>
          <w:szCs w:val="21"/>
          <w:highlight w:val="none"/>
          <w:u w:val="single"/>
          <w:lang w:val="en-US" w:eastAsia="zh-CN" w:bidi="ar-SA"/>
        </w:rPr>
        <w:t>陕西省人民医院主院区大型设备供电电缆项目</w:t>
      </w:r>
      <w:r>
        <w:rPr>
          <w:rFonts w:hint="eastAsia" w:ascii="宋体" w:hAnsi="宋体" w:cs="宋体"/>
          <w:b w:val="0"/>
          <w:color w:val="auto"/>
          <w:kern w:val="0"/>
          <w:sz w:val="21"/>
          <w:szCs w:val="21"/>
          <w:highlight w:val="none"/>
          <w:u w:val="single"/>
          <w:lang w:val="en-US" w:eastAsia="zh-CN" w:bidi="ar-SA"/>
        </w:rPr>
        <w:t xml:space="preserve">   </w:t>
      </w:r>
      <w:r>
        <w:rPr>
          <w:rFonts w:hint="eastAsia" w:ascii="宋体" w:hAnsi="宋体" w:eastAsia="宋体" w:cs="宋体"/>
          <w:b w:val="0"/>
          <w:color w:val="auto"/>
          <w:kern w:val="0"/>
          <w:sz w:val="21"/>
          <w:szCs w:val="21"/>
          <w:highlight w:val="none"/>
          <w:u w:val="single"/>
          <w:lang w:val="en-US" w:eastAsia="zh-CN" w:bidi="ar-SA"/>
        </w:rPr>
        <w:t xml:space="preserve">  </w:t>
      </w:r>
      <w:r>
        <w:rPr>
          <w:rFonts w:hint="eastAsia" w:ascii="宋体" w:hAnsi="宋体" w:eastAsia="宋体" w:cs="宋体"/>
          <w:b w:val="0"/>
          <w:color w:val="auto"/>
          <w:kern w:val="0"/>
          <w:sz w:val="21"/>
          <w:szCs w:val="21"/>
          <w:highlight w:val="none"/>
          <w:lang w:val="en-US" w:eastAsia="zh-CN" w:bidi="ar-SA"/>
        </w:rPr>
        <w:t>（项目编号：</w:t>
      </w:r>
      <w:r>
        <w:rPr>
          <w:rFonts w:hint="eastAsia" w:ascii="宋体" w:hAnsi="宋体" w:cs="宋体"/>
          <w:b w:val="0"/>
          <w:color w:val="auto"/>
          <w:kern w:val="0"/>
          <w:sz w:val="21"/>
          <w:szCs w:val="21"/>
          <w:highlight w:val="none"/>
          <w:u w:val="single"/>
          <w:lang w:val="en-US" w:eastAsia="zh-CN" w:bidi="ar-SA"/>
        </w:rPr>
        <w:t xml:space="preserve"> 2025-HZZB-075   </w:t>
      </w:r>
      <w:r>
        <w:rPr>
          <w:rFonts w:hint="eastAsia" w:ascii="宋体" w:hAnsi="宋体" w:eastAsia="宋体" w:cs="宋体"/>
          <w:b w:val="0"/>
          <w:color w:val="auto"/>
          <w:kern w:val="0"/>
          <w:sz w:val="21"/>
          <w:szCs w:val="21"/>
          <w:highlight w:val="none"/>
          <w:lang w:val="en-US" w:eastAsia="zh-CN" w:bidi="ar-SA"/>
        </w:rPr>
        <w:t>）相关采购要求的规定，合同双方就乙方向采购方提供</w:t>
      </w:r>
      <w:r>
        <w:rPr>
          <w:rFonts w:hint="eastAsia" w:ascii="宋体" w:hAnsi="宋体" w:eastAsia="宋体" w:cs="宋体"/>
          <w:b w:val="0"/>
          <w:color w:val="auto"/>
          <w:kern w:val="0"/>
          <w:sz w:val="21"/>
          <w:szCs w:val="21"/>
          <w:highlight w:val="none"/>
          <w:u w:val="single"/>
          <w:lang w:val="en-US" w:eastAsia="zh-CN" w:bidi="ar-SA"/>
        </w:rPr>
        <w:t xml:space="preserve"> 主院区新增设备供电电缆及装修改造过程中的电缆</w:t>
      </w:r>
      <w:r>
        <w:rPr>
          <w:rFonts w:hint="eastAsia" w:ascii="宋体" w:hAnsi="宋体" w:cs="宋体"/>
          <w:b w:val="0"/>
          <w:color w:val="auto"/>
          <w:kern w:val="0"/>
          <w:sz w:val="21"/>
          <w:szCs w:val="21"/>
          <w:highlight w:val="none"/>
          <w:u w:val="single"/>
          <w:lang w:val="en-US" w:eastAsia="zh-CN" w:bidi="ar-SA"/>
        </w:rPr>
        <w:t>采购及</w:t>
      </w:r>
      <w:r>
        <w:rPr>
          <w:rFonts w:hint="eastAsia" w:ascii="宋体" w:hAnsi="宋体" w:eastAsia="宋体" w:cs="宋体"/>
          <w:b w:val="0"/>
          <w:color w:val="auto"/>
          <w:kern w:val="0"/>
          <w:sz w:val="21"/>
          <w:szCs w:val="21"/>
          <w:highlight w:val="none"/>
          <w:u w:val="single"/>
          <w:lang w:val="en-US" w:eastAsia="zh-CN" w:bidi="ar-SA"/>
        </w:rPr>
        <w:t xml:space="preserve">铺设 </w:t>
      </w:r>
      <w:r>
        <w:rPr>
          <w:rFonts w:hint="eastAsia" w:ascii="宋体" w:hAnsi="宋体" w:eastAsia="宋体" w:cs="宋体"/>
          <w:b w:val="0"/>
          <w:color w:val="auto"/>
          <w:kern w:val="0"/>
          <w:sz w:val="21"/>
          <w:szCs w:val="21"/>
          <w:highlight w:val="none"/>
          <w:lang w:val="en-US" w:eastAsia="zh-CN" w:bidi="ar-SA"/>
        </w:rPr>
        <w:t>事宜，经协商达成一致，确立本合同。</w:t>
      </w:r>
    </w:p>
    <w:p w14:paraId="4C59FAE4">
      <w:pPr>
        <w:spacing w:line="460" w:lineRule="exact"/>
        <w:ind w:firstLine="422" w:firstLineChars="200"/>
        <w:jc w:val="left"/>
        <w:rPr>
          <w:rFonts w:hint="eastAsia" w:ascii="宋体" w:hAnsi="宋体" w:eastAsia="宋体" w:cs="宋体"/>
          <w:sz w:val="21"/>
          <w:szCs w:val="21"/>
        </w:rPr>
      </w:pPr>
      <w:r>
        <w:rPr>
          <w:rFonts w:hint="eastAsia" w:ascii="宋体" w:hAnsi="宋体" w:eastAsia="宋体" w:cs="宋体"/>
          <w:b/>
          <w:sz w:val="21"/>
          <w:szCs w:val="21"/>
        </w:rPr>
        <w:t>第一条  合同内容</w:t>
      </w:r>
    </w:p>
    <w:p w14:paraId="197DEA8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b w:val="0"/>
          <w:color w:val="auto"/>
          <w:kern w:val="0"/>
          <w:sz w:val="21"/>
          <w:szCs w:val="21"/>
          <w:highlight w:val="none"/>
          <w:lang w:val="en-US" w:eastAsia="zh-CN" w:bidi="ar-SA"/>
        </w:rPr>
      </w:pPr>
      <w:r>
        <w:rPr>
          <w:rFonts w:hint="eastAsia" w:ascii="宋体" w:hAnsi="宋体" w:eastAsia="宋体" w:cs="宋体"/>
          <w:b w:val="0"/>
          <w:color w:val="auto"/>
          <w:kern w:val="0"/>
          <w:sz w:val="21"/>
          <w:szCs w:val="21"/>
          <w:highlight w:val="none"/>
          <w:lang w:val="en-US" w:eastAsia="zh-CN" w:bidi="ar-SA"/>
        </w:rPr>
        <w:t>（一）乙方负责按合同中确定的设备品牌、规格、型号、数量、原产地及配套内容进行供货；按时运到甲方指定的交货地点，负责设备到货后安装调试工作，达到正常使用；负责为甲方指导操作使用维修保养，做好售后服务。</w:t>
      </w:r>
    </w:p>
    <w:p w14:paraId="23BCF6A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b w:val="0"/>
          <w:color w:val="auto"/>
          <w:kern w:val="0"/>
          <w:sz w:val="21"/>
          <w:szCs w:val="21"/>
          <w:highlight w:val="none"/>
          <w:lang w:val="en-US" w:eastAsia="zh-CN" w:bidi="ar-SA"/>
        </w:rPr>
      </w:pPr>
      <w:r>
        <w:rPr>
          <w:rFonts w:hint="eastAsia" w:ascii="宋体" w:hAnsi="宋体" w:eastAsia="宋体" w:cs="宋体"/>
          <w:b w:val="0"/>
          <w:color w:val="auto"/>
          <w:kern w:val="0"/>
          <w:sz w:val="21"/>
          <w:szCs w:val="21"/>
          <w:highlight w:val="none"/>
          <w:lang w:val="en-US" w:eastAsia="zh-CN" w:bidi="ar-SA"/>
        </w:rPr>
        <w:t>（二）招标文件、乙方的投标文件及评审过程中的澄清、承诺内容均作为本合同的组成部分，具有同等法律效力。</w:t>
      </w:r>
    </w:p>
    <w:p w14:paraId="60719918">
      <w:pPr>
        <w:spacing w:line="460" w:lineRule="exact"/>
        <w:ind w:firstLine="422" w:firstLineChars="200"/>
        <w:jc w:val="left"/>
        <w:rPr>
          <w:rFonts w:hint="eastAsia" w:ascii="宋体" w:hAnsi="宋体" w:eastAsia="宋体" w:cs="宋体"/>
          <w:b/>
          <w:sz w:val="21"/>
          <w:szCs w:val="21"/>
        </w:rPr>
      </w:pPr>
      <w:r>
        <w:rPr>
          <w:rFonts w:hint="eastAsia" w:ascii="宋体" w:hAnsi="宋体" w:eastAsia="宋体" w:cs="宋体"/>
          <w:b/>
          <w:sz w:val="21"/>
          <w:szCs w:val="21"/>
        </w:rPr>
        <w:t>第二条  合同价款(币种：人民币，单位：元)</w:t>
      </w:r>
    </w:p>
    <w:p w14:paraId="311FD30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b w:val="0"/>
          <w:color w:val="auto"/>
          <w:kern w:val="0"/>
          <w:sz w:val="21"/>
          <w:szCs w:val="21"/>
          <w:highlight w:val="none"/>
          <w:lang w:val="en-US" w:eastAsia="zh-CN" w:bidi="ar-SA"/>
        </w:rPr>
      </w:pPr>
      <w:r>
        <w:rPr>
          <w:rFonts w:hint="eastAsia" w:ascii="宋体" w:hAnsi="宋体" w:eastAsia="宋体" w:cs="宋体"/>
          <w:b w:val="0"/>
          <w:color w:val="auto"/>
          <w:kern w:val="0"/>
          <w:sz w:val="21"/>
          <w:szCs w:val="21"/>
          <w:highlight w:val="none"/>
          <w:lang w:val="en-US" w:eastAsia="zh-CN" w:bidi="ar-SA"/>
        </w:rPr>
        <w:t>（一）预算金额：</w:t>
      </w:r>
      <w:r>
        <w:rPr>
          <w:rFonts w:hint="eastAsia" w:ascii="宋体" w:hAnsi="宋体" w:cs="宋体"/>
          <w:b w:val="0"/>
          <w:color w:val="auto"/>
          <w:kern w:val="0"/>
          <w:sz w:val="21"/>
          <w:szCs w:val="21"/>
          <w:highlight w:val="none"/>
          <w:lang w:val="en-US" w:eastAsia="zh-CN" w:bidi="ar-SA"/>
        </w:rPr>
        <w:t>50</w:t>
      </w:r>
      <w:r>
        <w:rPr>
          <w:rFonts w:hint="eastAsia" w:ascii="宋体" w:hAnsi="宋体" w:eastAsia="宋体" w:cs="宋体"/>
          <w:b w:val="0"/>
          <w:color w:val="auto"/>
          <w:kern w:val="0"/>
          <w:sz w:val="21"/>
          <w:szCs w:val="21"/>
          <w:highlight w:val="none"/>
          <w:lang w:val="en-US" w:eastAsia="zh-CN" w:bidi="ar-SA"/>
        </w:rPr>
        <w:t>0000元</w:t>
      </w:r>
    </w:p>
    <w:p w14:paraId="74D74904">
      <w:pPr>
        <w:keepNext w:val="0"/>
        <w:keepLines w:val="0"/>
        <w:pageBreakBefore w:val="0"/>
        <w:widowControl w:val="0"/>
        <w:kinsoku/>
        <w:wordWrap/>
        <w:overflowPunct/>
        <w:topLinePunct w:val="0"/>
        <w:autoSpaceDE/>
        <w:autoSpaceDN/>
        <w:bidi w:val="0"/>
        <w:adjustRightInd/>
        <w:snapToGrid/>
        <w:spacing w:line="360" w:lineRule="auto"/>
        <w:ind w:firstLine="1050" w:firstLineChars="500"/>
        <w:jc w:val="both"/>
        <w:textAlignment w:val="auto"/>
        <w:outlineLvl w:val="9"/>
        <w:rPr>
          <w:rFonts w:hint="eastAsia" w:ascii="宋体" w:hAnsi="宋体" w:eastAsia="宋体" w:cs="宋体"/>
          <w:b w:val="0"/>
          <w:color w:val="auto"/>
          <w:kern w:val="0"/>
          <w:sz w:val="21"/>
          <w:szCs w:val="21"/>
          <w:highlight w:val="none"/>
          <w:lang w:val="en-US" w:eastAsia="zh-CN" w:bidi="ar-SA"/>
        </w:rPr>
      </w:pPr>
      <w:r>
        <w:rPr>
          <w:rFonts w:hint="eastAsia" w:ascii="宋体" w:hAnsi="宋体" w:eastAsia="宋体" w:cs="宋体"/>
          <w:b w:val="0"/>
          <w:color w:val="auto"/>
          <w:kern w:val="0"/>
          <w:sz w:val="21"/>
          <w:szCs w:val="21"/>
          <w:highlight w:val="none"/>
          <w:lang w:val="en-US" w:eastAsia="zh-CN" w:bidi="ar-SA"/>
        </w:rPr>
        <w:t>单价之和：</w:t>
      </w:r>
      <w:r>
        <w:rPr>
          <w:rFonts w:hint="eastAsia" w:ascii="宋体" w:hAnsi="宋体" w:eastAsia="宋体" w:cs="宋体"/>
          <w:b w:val="0"/>
          <w:color w:val="auto"/>
          <w:kern w:val="0"/>
          <w:sz w:val="21"/>
          <w:szCs w:val="21"/>
          <w:highlight w:val="none"/>
          <w:u w:val="single"/>
          <w:lang w:val="en-US" w:eastAsia="zh-CN" w:bidi="ar-SA"/>
        </w:rPr>
        <w:t xml:space="preserve">         </w:t>
      </w:r>
      <w:r>
        <w:rPr>
          <w:rFonts w:hint="eastAsia" w:ascii="宋体" w:hAnsi="宋体" w:eastAsia="宋体" w:cs="宋体"/>
          <w:b w:val="0"/>
          <w:color w:val="auto"/>
          <w:kern w:val="0"/>
          <w:sz w:val="21"/>
          <w:szCs w:val="21"/>
          <w:highlight w:val="none"/>
          <w:lang w:val="en-US" w:eastAsia="zh-CN" w:bidi="ar-SA"/>
        </w:rPr>
        <w:t>元</w:t>
      </w:r>
    </w:p>
    <w:p w14:paraId="319CFC63">
      <w:pPr>
        <w:keepNext w:val="0"/>
        <w:keepLines w:val="0"/>
        <w:pageBreakBefore w:val="0"/>
        <w:widowControl w:val="0"/>
        <w:kinsoku/>
        <w:wordWrap/>
        <w:overflowPunct/>
        <w:topLinePunct w:val="0"/>
        <w:autoSpaceDE/>
        <w:autoSpaceDN/>
        <w:bidi w:val="0"/>
        <w:adjustRightInd/>
        <w:snapToGrid/>
        <w:spacing w:line="360" w:lineRule="auto"/>
        <w:ind w:firstLine="1050" w:firstLineChars="500"/>
        <w:jc w:val="both"/>
        <w:textAlignment w:val="auto"/>
        <w:outlineLvl w:val="9"/>
        <w:rPr>
          <w:rFonts w:hint="default" w:ascii="宋体" w:hAnsi="宋体" w:eastAsia="宋体" w:cs="宋体"/>
          <w:b w:val="0"/>
          <w:color w:val="auto"/>
          <w:kern w:val="0"/>
          <w:sz w:val="21"/>
          <w:szCs w:val="21"/>
          <w:highlight w:val="none"/>
          <w:lang w:val="en-US" w:eastAsia="zh-CN" w:bidi="ar-SA"/>
        </w:rPr>
      </w:pPr>
      <w:r>
        <w:rPr>
          <w:rFonts w:hint="eastAsia" w:ascii="宋体" w:hAnsi="宋体" w:eastAsia="宋体" w:cs="宋体"/>
          <w:b w:val="0"/>
          <w:color w:val="auto"/>
          <w:kern w:val="0"/>
          <w:sz w:val="21"/>
          <w:szCs w:val="21"/>
          <w:highlight w:val="none"/>
          <w:lang w:val="en-US" w:eastAsia="zh-CN" w:bidi="ar-SA"/>
        </w:rPr>
        <w:t>清单明细：详见附表</w:t>
      </w:r>
    </w:p>
    <w:p w14:paraId="0FFD53B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b w:val="0"/>
          <w:color w:val="auto"/>
          <w:kern w:val="0"/>
          <w:sz w:val="21"/>
          <w:szCs w:val="21"/>
          <w:highlight w:val="none"/>
          <w:lang w:val="en-US" w:eastAsia="zh-CN" w:bidi="ar-SA"/>
        </w:rPr>
      </w:pPr>
      <w:r>
        <w:rPr>
          <w:rFonts w:hint="eastAsia" w:ascii="宋体" w:hAnsi="宋体" w:eastAsia="宋体" w:cs="宋体"/>
          <w:b w:val="0"/>
          <w:color w:val="auto"/>
          <w:kern w:val="0"/>
          <w:sz w:val="21"/>
          <w:szCs w:val="21"/>
          <w:highlight w:val="none"/>
          <w:lang w:val="en-US" w:eastAsia="zh-CN" w:bidi="ar-SA"/>
        </w:rPr>
        <w:t>（二）合同单价包括：产品费、运输费（含保险费）、安装调试费、检测验收费等应缴纳的全部税款及其它费用。</w:t>
      </w:r>
    </w:p>
    <w:p w14:paraId="1EA6F52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b w:val="0"/>
          <w:color w:val="auto"/>
          <w:kern w:val="0"/>
          <w:sz w:val="21"/>
          <w:szCs w:val="21"/>
          <w:highlight w:val="none"/>
          <w:lang w:val="en-US" w:eastAsia="zh-CN" w:bidi="ar-SA"/>
        </w:rPr>
      </w:pPr>
      <w:r>
        <w:rPr>
          <w:rFonts w:hint="eastAsia" w:ascii="宋体" w:hAnsi="宋体" w:eastAsia="宋体" w:cs="宋体"/>
          <w:b w:val="0"/>
          <w:color w:val="auto"/>
          <w:kern w:val="0"/>
          <w:sz w:val="21"/>
          <w:szCs w:val="21"/>
          <w:highlight w:val="none"/>
          <w:lang w:val="en-US" w:eastAsia="zh-CN" w:bidi="ar-SA"/>
        </w:rPr>
        <w:t>（三）合同单价一次性包死，不受市场价格变化因素的影响。</w:t>
      </w:r>
    </w:p>
    <w:p w14:paraId="72EAFE71">
      <w:pPr>
        <w:autoSpaceDE w:val="0"/>
        <w:autoSpaceDN w:val="0"/>
        <w:adjustRightInd w:val="0"/>
        <w:snapToGrid w:val="0"/>
        <w:spacing w:line="360" w:lineRule="auto"/>
        <w:ind w:firstLine="422" w:firstLineChars="200"/>
        <w:rPr>
          <w:rFonts w:hint="eastAsia" w:ascii="宋体" w:hAnsi="宋体" w:eastAsia="宋体" w:cs="宋体"/>
          <w:b/>
          <w:bCs/>
          <w:color w:val="auto"/>
          <w:szCs w:val="24"/>
          <w:highlight w:val="none"/>
        </w:rPr>
      </w:pPr>
      <w:r>
        <w:rPr>
          <w:rFonts w:hint="eastAsia" w:ascii="宋体" w:hAnsi="宋体" w:eastAsia="宋体" w:cs="宋体"/>
          <w:b/>
          <w:szCs w:val="24"/>
        </w:rPr>
        <w:t xml:space="preserve">第三条  </w:t>
      </w:r>
      <w:r>
        <w:rPr>
          <w:rFonts w:hint="eastAsia" w:ascii="宋体" w:hAnsi="宋体" w:eastAsia="宋体" w:cs="宋体"/>
          <w:b/>
          <w:bCs/>
          <w:color w:val="auto"/>
          <w:szCs w:val="24"/>
        </w:rPr>
        <w:t>款项结算</w:t>
      </w:r>
    </w:p>
    <w:p w14:paraId="712F5362">
      <w:pPr>
        <w:autoSpaceDE w:val="0"/>
        <w:autoSpaceDN w:val="0"/>
        <w:adjustRightInd w:val="0"/>
        <w:snapToGrid w:val="0"/>
        <w:spacing w:line="360" w:lineRule="auto"/>
        <w:ind w:firstLine="420" w:firstLineChars="200"/>
        <w:rPr>
          <w:rFonts w:hint="eastAsia" w:ascii="宋体" w:hAnsi="宋体" w:eastAsia="宋体" w:cs="宋体"/>
          <w:bCs/>
          <w:szCs w:val="24"/>
          <w:highlight w:val="none"/>
        </w:rPr>
      </w:pPr>
      <w:r>
        <w:rPr>
          <w:rFonts w:hint="eastAsia" w:ascii="宋体" w:hAnsi="宋体" w:eastAsia="宋体" w:cs="宋体"/>
          <w:bCs/>
          <w:szCs w:val="24"/>
          <w:highlight w:val="none"/>
        </w:rPr>
        <w:t>（一）付款方式：</w:t>
      </w:r>
    </w:p>
    <w:p w14:paraId="6576D076">
      <w:pPr>
        <w:autoSpaceDE w:val="0"/>
        <w:autoSpaceDN w:val="0"/>
        <w:adjustRightInd w:val="0"/>
        <w:snapToGrid w:val="0"/>
        <w:spacing w:line="360" w:lineRule="auto"/>
        <w:ind w:firstLine="420" w:firstLineChars="200"/>
        <w:rPr>
          <w:rFonts w:hint="eastAsia" w:ascii="宋体" w:hAnsi="宋体" w:eastAsia="宋体" w:cs="宋体"/>
          <w:bCs/>
          <w:szCs w:val="24"/>
          <w:highlight w:val="none"/>
        </w:rPr>
      </w:pPr>
      <w:r>
        <w:rPr>
          <w:rFonts w:hint="eastAsia" w:ascii="宋体" w:hAnsi="宋体" w:eastAsia="宋体" w:cs="宋体"/>
          <w:bCs/>
          <w:szCs w:val="24"/>
          <w:highlight w:val="none"/>
          <w:lang w:val="en-US" w:eastAsia="zh-CN"/>
        </w:rPr>
        <w:t>付款条件说明：结算时采购人根据实际数量和投标单价计算实际发生金额并向供应商支付实际发生金额。</w:t>
      </w:r>
      <w:r>
        <w:rPr>
          <w:rFonts w:hint="eastAsia" w:ascii="宋体" w:hAnsi="宋体" w:eastAsia="宋体" w:cs="宋体"/>
          <w:bCs/>
          <w:szCs w:val="24"/>
          <w:highlight w:val="none"/>
        </w:rPr>
        <w:t xml:space="preserve"> </w:t>
      </w:r>
    </w:p>
    <w:p w14:paraId="31EF2A58">
      <w:pPr>
        <w:autoSpaceDE w:val="0"/>
        <w:autoSpaceDN w:val="0"/>
        <w:adjustRightInd w:val="0"/>
        <w:snapToGrid w:val="0"/>
        <w:spacing w:line="360" w:lineRule="auto"/>
        <w:ind w:firstLine="420" w:firstLineChars="200"/>
        <w:rPr>
          <w:rFonts w:hint="eastAsia" w:ascii="宋体" w:hAnsi="宋体" w:eastAsia="宋体" w:cs="宋体"/>
          <w:bCs/>
          <w:szCs w:val="24"/>
          <w:highlight w:val="none"/>
        </w:rPr>
      </w:pPr>
      <w:r>
        <w:rPr>
          <w:rFonts w:hint="eastAsia" w:ascii="宋体" w:hAnsi="宋体" w:eastAsia="宋体" w:cs="宋体"/>
          <w:bCs/>
          <w:szCs w:val="24"/>
          <w:highlight w:val="none"/>
        </w:rPr>
        <w:t>（二）支付方式：银行转账。</w:t>
      </w:r>
    </w:p>
    <w:p w14:paraId="1053AD96">
      <w:pPr>
        <w:autoSpaceDE w:val="0"/>
        <w:autoSpaceDN w:val="0"/>
        <w:adjustRightInd w:val="0"/>
        <w:snapToGri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（三）结算方式：乙方在接受甲方付款前，开具</w:t>
      </w:r>
      <w:r>
        <w:rPr>
          <w:rFonts w:hint="eastAsia" w:ascii="宋体" w:hAnsi="宋体" w:eastAsia="宋体" w:cs="宋体"/>
          <w:bCs/>
          <w:szCs w:val="24"/>
          <w:lang w:val="en-US" w:eastAsia="zh-CN"/>
        </w:rPr>
        <w:t>等</w:t>
      </w:r>
      <w:r>
        <w:rPr>
          <w:rFonts w:hint="eastAsia" w:ascii="宋体" w:hAnsi="宋体" w:eastAsia="宋体" w:cs="宋体"/>
          <w:bCs/>
          <w:szCs w:val="24"/>
        </w:rPr>
        <w:t>额发票给甲方。</w:t>
      </w:r>
    </w:p>
    <w:p w14:paraId="4901A91C">
      <w:pPr>
        <w:autoSpaceDE w:val="0"/>
        <w:autoSpaceDN w:val="0"/>
        <w:adjustRightInd w:val="0"/>
        <w:snapToGrid w:val="0"/>
        <w:spacing w:line="360" w:lineRule="auto"/>
        <w:ind w:firstLine="422" w:firstLineChars="200"/>
        <w:rPr>
          <w:rFonts w:hint="eastAsia" w:ascii="宋体" w:hAnsi="宋体" w:eastAsia="宋体" w:cs="宋体"/>
          <w:b/>
          <w:bCs/>
          <w:szCs w:val="24"/>
        </w:rPr>
      </w:pPr>
      <w:r>
        <w:rPr>
          <w:rFonts w:hint="eastAsia" w:ascii="宋体" w:hAnsi="宋体" w:eastAsia="宋体" w:cs="宋体"/>
          <w:b/>
          <w:szCs w:val="24"/>
        </w:rPr>
        <w:t xml:space="preserve">第四条  </w:t>
      </w:r>
      <w:r>
        <w:rPr>
          <w:rFonts w:hint="eastAsia" w:ascii="宋体" w:hAnsi="宋体" w:eastAsia="宋体" w:cs="宋体"/>
          <w:b/>
          <w:bCs/>
          <w:szCs w:val="24"/>
        </w:rPr>
        <w:t>双方的权利和义务</w:t>
      </w:r>
    </w:p>
    <w:p w14:paraId="6C1DC67C">
      <w:pPr>
        <w:autoSpaceDE w:val="0"/>
        <w:autoSpaceDN w:val="0"/>
        <w:adjustRightInd w:val="0"/>
        <w:snapToGri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（一）甲方的权利与义务</w:t>
      </w:r>
    </w:p>
    <w:p w14:paraId="7009E198">
      <w:pPr>
        <w:autoSpaceDE w:val="0"/>
        <w:autoSpaceDN w:val="0"/>
        <w:adjustRightInd w:val="0"/>
        <w:snapToGri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1.甲方提供安装条件。</w:t>
      </w:r>
    </w:p>
    <w:p w14:paraId="04CB3354">
      <w:pPr>
        <w:autoSpaceDE w:val="0"/>
        <w:autoSpaceDN w:val="0"/>
        <w:adjustRightInd w:val="0"/>
        <w:snapToGri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2.甲方在收到货物通知后，应按</w:t>
      </w:r>
      <w:r>
        <w:rPr>
          <w:rFonts w:hint="eastAsia" w:ascii="宋体" w:hAnsi="宋体" w:eastAsia="宋体" w:cs="宋体"/>
          <w:bCs/>
          <w:szCs w:val="24"/>
          <w:lang w:eastAsia="zh-CN"/>
        </w:rPr>
        <w:t>招标文件</w:t>
      </w:r>
      <w:r>
        <w:rPr>
          <w:rFonts w:hint="eastAsia" w:ascii="宋体" w:hAnsi="宋体" w:eastAsia="宋体" w:cs="宋体"/>
          <w:bCs/>
          <w:szCs w:val="24"/>
        </w:rPr>
        <w:t>的需求进行核实，如发现不符合合同规定或短缺，及时提出，甲方在收到货后，组织人员按提供的技术参数指标进行验收。甲方必须按交货时间交付乙方安装现场，并现场配合。</w:t>
      </w:r>
    </w:p>
    <w:p w14:paraId="33CE177F">
      <w:pPr>
        <w:autoSpaceDE w:val="0"/>
        <w:autoSpaceDN w:val="0"/>
        <w:adjustRightInd w:val="0"/>
        <w:snapToGri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（二）乙方的权利与义务</w:t>
      </w:r>
    </w:p>
    <w:p w14:paraId="06E8B74B">
      <w:pPr>
        <w:autoSpaceDE w:val="0"/>
        <w:autoSpaceDN w:val="0"/>
        <w:adjustRightInd w:val="0"/>
        <w:snapToGri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1.乙方负责产品的运输、安装与调试，并在合同约定的时间完工。</w:t>
      </w:r>
    </w:p>
    <w:p w14:paraId="0F2BAEFD">
      <w:pPr>
        <w:autoSpaceDE w:val="0"/>
        <w:autoSpaceDN w:val="0"/>
        <w:adjustRightInd w:val="0"/>
        <w:snapToGri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2.乙方所提供的产品必须是采购需求产品，运输及安装施工全过程中的安全由乙方负责。</w:t>
      </w:r>
    </w:p>
    <w:p w14:paraId="7DE69E12">
      <w:pPr>
        <w:autoSpaceDE w:val="0"/>
        <w:autoSpaceDN w:val="0"/>
        <w:adjustRightInd w:val="0"/>
        <w:snapToGri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3.在作业现场安装及调试过程中，乙方应积极配合甲方与水、电、气安装人员进行配合，最终完成产品的安装调试工作。</w:t>
      </w:r>
    </w:p>
    <w:p w14:paraId="3CBC9CB9">
      <w:pPr>
        <w:autoSpaceDE w:val="0"/>
        <w:autoSpaceDN w:val="0"/>
        <w:adjustRightInd w:val="0"/>
        <w:snapToGrid w:val="0"/>
        <w:spacing w:line="360" w:lineRule="auto"/>
        <w:ind w:firstLine="422" w:firstLineChars="200"/>
        <w:rPr>
          <w:rFonts w:hint="eastAsia" w:ascii="宋体" w:hAnsi="宋体" w:eastAsia="宋体" w:cs="宋体"/>
          <w:b/>
          <w:bCs/>
          <w:szCs w:val="24"/>
        </w:rPr>
      </w:pPr>
      <w:r>
        <w:rPr>
          <w:rFonts w:hint="eastAsia" w:ascii="宋体" w:hAnsi="宋体" w:eastAsia="宋体" w:cs="宋体"/>
          <w:b/>
          <w:bCs/>
          <w:szCs w:val="24"/>
        </w:rPr>
        <w:t>第五条  交货期及地点</w:t>
      </w:r>
    </w:p>
    <w:p w14:paraId="74D566B4">
      <w:pPr>
        <w:autoSpaceDE w:val="0"/>
        <w:autoSpaceDN w:val="0"/>
        <w:adjustRightInd w:val="0"/>
        <w:snapToGrid w:val="0"/>
        <w:spacing w:line="360" w:lineRule="auto"/>
        <w:ind w:firstLine="420" w:firstLineChars="200"/>
        <w:rPr>
          <w:rFonts w:hint="eastAsia" w:ascii="宋体" w:hAnsi="宋体" w:eastAsia="宋体" w:cs="宋体"/>
          <w:bCs/>
          <w:szCs w:val="24"/>
          <w:highlight w:val="none"/>
        </w:rPr>
      </w:pPr>
      <w:r>
        <w:rPr>
          <w:rFonts w:hint="eastAsia" w:ascii="宋体" w:hAnsi="宋体" w:eastAsia="宋体" w:cs="宋体"/>
          <w:bCs/>
          <w:szCs w:val="24"/>
        </w:rPr>
        <w:t>（一）地点：</w:t>
      </w:r>
      <w:r>
        <w:rPr>
          <w:rFonts w:hint="eastAsia" w:ascii="宋体" w:hAnsi="宋体" w:eastAsia="宋体" w:cs="宋体"/>
          <w:bCs/>
          <w:szCs w:val="24"/>
          <w:u w:val="single"/>
        </w:rPr>
        <w:t>甲方指定地点</w:t>
      </w:r>
      <w:r>
        <w:rPr>
          <w:rFonts w:hint="eastAsia" w:ascii="宋体" w:hAnsi="宋体" w:eastAsia="宋体" w:cs="宋体"/>
          <w:bCs/>
          <w:szCs w:val="24"/>
        </w:rPr>
        <w:t>。</w:t>
      </w:r>
    </w:p>
    <w:p w14:paraId="418C5FF6">
      <w:pPr>
        <w:snapToGrid w:val="0"/>
        <w:spacing w:line="360" w:lineRule="auto"/>
        <w:ind w:firstLine="420" w:firstLineChars="200"/>
        <w:rPr>
          <w:rFonts w:hint="eastAsia" w:ascii="宋体" w:hAnsi="宋体" w:eastAsia="宋体" w:cs="宋体"/>
          <w:bCs/>
          <w:szCs w:val="24"/>
          <w:highlight w:val="none"/>
        </w:rPr>
      </w:pPr>
      <w:r>
        <w:rPr>
          <w:rFonts w:hint="eastAsia" w:ascii="宋体" w:hAnsi="宋体" w:eastAsia="宋体" w:cs="宋体"/>
          <w:bCs/>
          <w:szCs w:val="24"/>
          <w:highlight w:val="none"/>
        </w:rPr>
        <w:t>（二）合同履行期限：自收到甲方通知起，30日内完成</w:t>
      </w:r>
      <w:r>
        <w:rPr>
          <w:rFonts w:hint="eastAsia" w:ascii="宋体" w:hAnsi="宋体" w:cs="宋体"/>
          <w:bCs/>
          <w:szCs w:val="24"/>
          <w:highlight w:val="none"/>
          <w:lang w:eastAsia="zh-CN"/>
        </w:rPr>
        <w:t>。</w:t>
      </w:r>
      <w:bookmarkStart w:id="6" w:name="_GoBack"/>
      <w:bookmarkEnd w:id="6"/>
    </w:p>
    <w:p w14:paraId="5720F108">
      <w:pPr>
        <w:autoSpaceDE w:val="0"/>
        <w:autoSpaceDN w:val="0"/>
        <w:adjustRightInd w:val="0"/>
        <w:snapToGrid w:val="0"/>
        <w:spacing w:line="360" w:lineRule="auto"/>
        <w:ind w:firstLine="422" w:firstLineChars="200"/>
        <w:rPr>
          <w:rFonts w:hint="eastAsia" w:ascii="宋体" w:hAnsi="宋体" w:eastAsia="宋体" w:cs="宋体"/>
          <w:b/>
          <w:szCs w:val="24"/>
        </w:rPr>
      </w:pPr>
      <w:r>
        <w:rPr>
          <w:rFonts w:hint="eastAsia" w:ascii="宋体" w:hAnsi="宋体" w:eastAsia="宋体" w:cs="宋体"/>
          <w:b/>
          <w:szCs w:val="24"/>
        </w:rPr>
        <w:t>第六条  运输</w:t>
      </w:r>
    </w:p>
    <w:p w14:paraId="3E27E51F">
      <w:pPr>
        <w:autoSpaceDE w:val="0"/>
        <w:autoSpaceDN w:val="0"/>
        <w:adjustRightInd w:val="0"/>
        <w:snapToGri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（一）乙方负责所有产品的运输，确保采购产品安全、完整到达甲方指定地点。运杂费用已包含在合同总价内，包括从产品供应地点所含的运输费、装卸费、仓储费、保险费等。</w:t>
      </w:r>
    </w:p>
    <w:p w14:paraId="68A5D8C2">
      <w:pPr>
        <w:autoSpaceDE w:val="0"/>
        <w:autoSpaceDN w:val="0"/>
        <w:adjustRightInd w:val="0"/>
        <w:snapToGri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（二）运输方式由乙方自行选择，但必须保证按期交货</w:t>
      </w:r>
      <w:r>
        <w:rPr>
          <w:rFonts w:hint="eastAsia" w:ascii="宋体" w:hAnsi="宋体" w:eastAsia="宋体" w:cs="宋体"/>
          <w:bCs/>
          <w:szCs w:val="24"/>
          <w:lang w:eastAsia="zh-CN"/>
        </w:rPr>
        <w:t>。</w:t>
      </w:r>
      <w:r>
        <w:rPr>
          <w:rFonts w:hint="eastAsia" w:ascii="宋体" w:hAnsi="宋体" w:eastAsia="宋体" w:cs="宋体"/>
          <w:bCs/>
          <w:szCs w:val="24"/>
        </w:rPr>
        <w:t>所有采购货物在运输、搬运的过程中，造成甲方损失的，由乙方为甲方修复或更新。</w:t>
      </w:r>
    </w:p>
    <w:p w14:paraId="524E917E">
      <w:pPr>
        <w:autoSpaceDE w:val="0"/>
        <w:autoSpaceDN w:val="0"/>
        <w:adjustRightInd w:val="0"/>
        <w:snapToGrid w:val="0"/>
        <w:spacing w:line="360" w:lineRule="auto"/>
        <w:ind w:firstLine="422" w:firstLineChars="200"/>
        <w:rPr>
          <w:rFonts w:hint="eastAsia" w:ascii="宋体" w:hAnsi="宋体" w:eastAsia="宋体" w:cs="宋体"/>
          <w:b/>
          <w:szCs w:val="24"/>
        </w:rPr>
      </w:pPr>
      <w:r>
        <w:rPr>
          <w:rFonts w:hint="eastAsia" w:ascii="宋体" w:hAnsi="宋体" w:eastAsia="宋体" w:cs="宋体"/>
          <w:b/>
          <w:szCs w:val="24"/>
        </w:rPr>
        <w:t>第七条  质量保证</w:t>
      </w:r>
    </w:p>
    <w:p w14:paraId="609DFFF2">
      <w:pPr>
        <w:autoSpaceDE w:val="0"/>
        <w:autoSpaceDN w:val="0"/>
        <w:adjustRightInd w:val="0"/>
        <w:snapToGri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（一）乙方选用的产品保证技术指标先进、质量性能可靠、进货渠道正常，配置合理，满足</w:t>
      </w:r>
      <w:r>
        <w:rPr>
          <w:rFonts w:hint="eastAsia" w:ascii="宋体" w:hAnsi="宋体" w:eastAsia="宋体" w:cs="宋体"/>
          <w:bCs/>
          <w:szCs w:val="24"/>
          <w:lang w:eastAsia="zh-CN"/>
        </w:rPr>
        <w:t>招标文件</w:t>
      </w:r>
      <w:r>
        <w:rPr>
          <w:rFonts w:hint="eastAsia" w:ascii="宋体" w:hAnsi="宋体" w:eastAsia="宋体" w:cs="宋体"/>
          <w:bCs/>
          <w:szCs w:val="24"/>
        </w:rPr>
        <w:t>要求。</w:t>
      </w:r>
    </w:p>
    <w:p w14:paraId="07BC497F">
      <w:pPr>
        <w:autoSpaceDE w:val="0"/>
        <w:autoSpaceDN w:val="0"/>
        <w:adjustRightInd w:val="0"/>
        <w:snapToGri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（二）产品符合国家有关规范要求，确保整个产品达到最佳运行状态。</w:t>
      </w:r>
    </w:p>
    <w:p w14:paraId="358FAE1E">
      <w:pPr>
        <w:autoSpaceDE w:val="0"/>
        <w:autoSpaceDN w:val="0"/>
        <w:adjustRightInd w:val="0"/>
        <w:snapToGri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（三）各种产品具有良好的外观，适合各种安装场所的使用。</w:t>
      </w:r>
    </w:p>
    <w:p w14:paraId="593C9AF1">
      <w:pPr>
        <w:autoSpaceDE w:val="0"/>
        <w:autoSpaceDN w:val="0"/>
        <w:adjustRightInd w:val="0"/>
        <w:snapToGri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（四）产品自安装、调试正常运行并验收合格之日起：</w:t>
      </w:r>
    </w:p>
    <w:p w14:paraId="39B962B2">
      <w:pPr>
        <w:autoSpaceDE w:val="0"/>
        <w:autoSpaceDN w:val="0"/>
        <w:adjustRightInd w:val="0"/>
        <w:snapToGrid w:val="0"/>
        <w:spacing w:line="360" w:lineRule="auto"/>
        <w:ind w:firstLine="525" w:firstLineChars="250"/>
        <w:rPr>
          <w:rFonts w:hint="eastAsia" w:ascii="宋体" w:hAnsi="宋体" w:eastAsia="宋体" w:cs="宋体"/>
          <w:bCs/>
          <w:szCs w:val="24"/>
        </w:rPr>
      </w:pPr>
      <w:r>
        <w:rPr>
          <w:rFonts w:hint="eastAsia" w:ascii="宋体" w:hAnsi="宋体" w:eastAsia="宋体" w:cs="宋体"/>
          <w:bCs/>
          <w:szCs w:val="24"/>
        </w:rPr>
        <w:t>保修期</w:t>
      </w:r>
      <w:r>
        <w:rPr>
          <w:rFonts w:hint="eastAsia" w:ascii="宋体" w:hAnsi="宋体" w:cs="宋体"/>
          <w:bCs/>
          <w:szCs w:val="24"/>
          <w:lang w:val="en-US" w:eastAsia="zh-CN"/>
        </w:rPr>
        <w:t>3</w:t>
      </w:r>
      <w:r>
        <w:rPr>
          <w:rFonts w:hint="eastAsia" w:ascii="宋体" w:hAnsi="宋体" w:eastAsia="宋体" w:cs="宋体"/>
          <w:bCs/>
          <w:szCs w:val="24"/>
          <w:lang w:val="en-US" w:eastAsia="zh-CN"/>
        </w:rPr>
        <w:t>年</w:t>
      </w:r>
      <w:r>
        <w:rPr>
          <w:rFonts w:hint="eastAsia" w:ascii="宋体" w:hAnsi="宋体" w:eastAsia="宋体" w:cs="宋体"/>
          <w:bCs/>
          <w:szCs w:val="24"/>
          <w:lang w:eastAsia="zh-CN"/>
        </w:rPr>
        <w:t>。保修期</w:t>
      </w:r>
      <w:r>
        <w:rPr>
          <w:rFonts w:hint="eastAsia" w:ascii="宋体" w:hAnsi="宋体" w:eastAsia="宋体" w:cs="宋体"/>
          <w:bCs/>
          <w:szCs w:val="24"/>
        </w:rPr>
        <w:t>内，同一主要部件出现质量问题经过两次维修后仍无法正常使用，可以更换同型号、同规格的产品，服务响应时间不超过2小时，24小时内工程师到位，对问题较大短期内暂不能解决的，为不影响甲方正常工作，乙方在2日内免费提供替代产品，确保正常运行；</w:t>
      </w:r>
    </w:p>
    <w:p w14:paraId="2285B5DF">
      <w:pPr>
        <w:autoSpaceDE w:val="0"/>
        <w:autoSpaceDN w:val="0"/>
        <w:adjustRightInd w:val="0"/>
        <w:snapToGrid w:val="0"/>
        <w:spacing w:line="360" w:lineRule="auto"/>
        <w:ind w:firstLine="422" w:firstLineChars="200"/>
        <w:rPr>
          <w:rFonts w:hint="eastAsia" w:ascii="宋体" w:hAnsi="宋体" w:eastAsia="宋体" w:cs="宋体"/>
          <w:b/>
          <w:szCs w:val="24"/>
          <w:lang w:val="zh-CN"/>
        </w:rPr>
      </w:pPr>
      <w:r>
        <w:rPr>
          <w:rFonts w:hint="eastAsia" w:ascii="宋体" w:hAnsi="宋体" w:eastAsia="宋体" w:cs="宋体"/>
          <w:b/>
          <w:szCs w:val="24"/>
        </w:rPr>
        <w:t xml:space="preserve">第八条  </w:t>
      </w:r>
      <w:r>
        <w:rPr>
          <w:rFonts w:hint="eastAsia" w:ascii="宋体" w:hAnsi="宋体" w:eastAsia="宋体" w:cs="宋体"/>
          <w:b/>
          <w:szCs w:val="24"/>
          <w:lang w:val="zh-CN"/>
        </w:rPr>
        <w:t>售后服务</w:t>
      </w:r>
    </w:p>
    <w:p w14:paraId="2F591DEF">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szCs w:val="24"/>
          <w:lang w:val="zh-CN" w:eastAsia="zh-CN"/>
        </w:rPr>
      </w:pPr>
      <w:r>
        <w:rPr>
          <w:rFonts w:hint="eastAsia" w:ascii="宋体" w:hAnsi="宋体" w:eastAsia="宋体" w:cs="宋体"/>
          <w:bCs/>
          <w:szCs w:val="24"/>
          <w:lang w:eastAsia="zh-CN"/>
        </w:rPr>
        <w:t>（一）</w:t>
      </w:r>
      <w:r>
        <w:rPr>
          <w:rFonts w:hint="eastAsia" w:ascii="宋体" w:hAnsi="宋体" w:eastAsia="宋体" w:cs="宋体"/>
          <w:bCs/>
          <w:szCs w:val="24"/>
          <w:lang w:val="zh-CN" w:eastAsia="zh-CN"/>
        </w:rPr>
        <w:t>在保修期内，乙方必须按照合同约定和响应文件的实质性响应，免费承担维保。保修期货物因质量发生的问题，由</w:t>
      </w:r>
      <w:r>
        <w:rPr>
          <w:rFonts w:hint="eastAsia" w:ascii="宋体" w:hAnsi="宋体" w:eastAsia="宋体" w:cs="宋体"/>
          <w:bCs/>
          <w:szCs w:val="24"/>
          <w:lang w:val="en-US" w:eastAsia="zh-CN"/>
        </w:rPr>
        <w:t>乙</w:t>
      </w:r>
      <w:r>
        <w:rPr>
          <w:rFonts w:hint="eastAsia" w:ascii="宋体" w:hAnsi="宋体" w:eastAsia="宋体" w:cs="宋体"/>
          <w:bCs/>
          <w:szCs w:val="24"/>
          <w:lang w:val="zh-CN" w:eastAsia="zh-CN"/>
        </w:rPr>
        <w:t>方免费维修、更换，并承担</w:t>
      </w:r>
      <w:r>
        <w:rPr>
          <w:rFonts w:hint="eastAsia" w:ascii="宋体" w:hAnsi="宋体" w:eastAsia="宋体" w:cs="宋体"/>
          <w:bCs/>
          <w:szCs w:val="24"/>
          <w:lang w:val="en-US" w:eastAsia="zh-CN"/>
        </w:rPr>
        <w:t>甲</w:t>
      </w:r>
      <w:r>
        <w:rPr>
          <w:rFonts w:hint="eastAsia" w:ascii="宋体" w:hAnsi="宋体" w:eastAsia="宋体" w:cs="宋体"/>
          <w:bCs/>
          <w:szCs w:val="24"/>
          <w:lang w:val="zh-CN" w:eastAsia="zh-CN"/>
        </w:rPr>
        <w:t>方全部损失。</w:t>
      </w:r>
    </w:p>
    <w:p w14:paraId="3EF4031D">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szCs w:val="24"/>
          <w:lang w:val="zh-CN" w:eastAsia="zh-CN"/>
        </w:rPr>
      </w:pPr>
      <w:r>
        <w:rPr>
          <w:rFonts w:hint="eastAsia" w:ascii="宋体" w:hAnsi="宋体" w:eastAsia="宋体" w:cs="宋体"/>
          <w:bCs/>
          <w:szCs w:val="24"/>
          <w:lang w:eastAsia="zh-CN"/>
        </w:rPr>
        <w:t>（</w:t>
      </w:r>
      <w:r>
        <w:rPr>
          <w:rFonts w:hint="eastAsia" w:ascii="宋体" w:hAnsi="宋体" w:eastAsia="宋体" w:cs="宋体"/>
          <w:bCs/>
          <w:szCs w:val="24"/>
          <w:lang w:val="en-US" w:eastAsia="zh-CN"/>
        </w:rPr>
        <w:t>二</w:t>
      </w:r>
      <w:r>
        <w:rPr>
          <w:rFonts w:hint="eastAsia" w:ascii="宋体" w:hAnsi="宋体" w:eastAsia="宋体" w:cs="宋体"/>
          <w:bCs/>
          <w:szCs w:val="24"/>
          <w:lang w:eastAsia="zh-CN"/>
        </w:rPr>
        <w:t>）</w:t>
      </w:r>
      <w:r>
        <w:rPr>
          <w:rFonts w:hint="eastAsia" w:ascii="宋体" w:hAnsi="宋体" w:eastAsia="宋体" w:cs="宋体"/>
          <w:bCs/>
          <w:szCs w:val="24"/>
          <w:lang w:val="zh-CN" w:eastAsia="zh-CN"/>
        </w:rPr>
        <w:t>乙方应提供完善的售后服务保障体系，向甲方提交售后服务承诺书，对货物实行终身免费的技术服务，保修期后对</w:t>
      </w:r>
      <w:r>
        <w:rPr>
          <w:rFonts w:hint="eastAsia" w:ascii="宋体" w:hAnsi="宋体" w:eastAsia="宋体" w:cs="宋体"/>
          <w:bCs/>
          <w:szCs w:val="24"/>
          <w:lang w:val="en-US" w:eastAsia="zh-CN"/>
        </w:rPr>
        <w:t>产品</w:t>
      </w:r>
      <w:r>
        <w:rPr>
          <w:rFonts w:hint="eastAsia" w:ascii="宋体" w:hAnsi="宋体" w:eastAsia="宋体" w:cs="宋体"/>
          <w:bCs/>
          <w:szCs w:val="24"/>
          <w:lang w:val="zh-CN" w:eastAsia="zh-CN"/>
        </w:rPr>
        <w:t>维修只收取成本费。</w:t>
      </w:r>
    </w:p>
    <w:p w14:paraId="0B65697B">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szCs w:val="24"/>
          <w:lang w:val="zh-CN" w:eastAsia="zh-CN"/>
        </w:rPr>
      </w:pPr>
      <w:r>
        <w:rPr>
          <w:rFonts w:hint="eastAsia" w:ascii="宋体" w:hAnsi="宋体" w:eastAsia="宋体" w:cs="宋体"/>
          <w:bCs/>
          <w:szCs w:val="24"/>
          <w:lang w:eastAsia="zh-CN"/>
        </w:rPr>
        <w:t>（四）</w:t>
      </w:r>
      <w:r>
        <w:rPr>
          <w:rFonts w:hint="eastAsia" w:ascii="宋体" w:hAnsi="宋体" w:eastAsia="宋体" w:cs="宋体"/>
          <w:bCs/>
          <w:szCs w:val="24"/>
          <w:lang w:val="zh-CN" w:eastAsia="zh-CN"/>
        </w:rPr>
        <w:t>乙方应保证以优惠价格提供长期备件的供应，乙方有义务尽快提供所需要更换的部件，对于要求紧急部件，乙方应安排最快的方式运输。</w:t>
      </w:r>
    </w:p>
    <w:p w14:paraId="331B6926">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szCs w:val="24"/>
          <w:lang w:val="zh-CN" w:eastAsia="zh-CN"/>
        </w:rPr>
      </w:pPr>
      <w:r>
        <w:rPr>
          <w:rFonts w:hint="eastAsia" w:ascii="宋体" w:hAnsi="宋体" w:eastAsia="宋体" w:cs="宋体"/>
          <w:bCs/>
          <w:szCs w:val="24"/>
          <w:lang w:eastAsia="zh-CN"/>
        </w:rPr>
        <w:t>（五）</w:t>
      </w:r>
      <w:r>
        <w:rPr>
          <w:rFonts w:hint="eastAsia" w:ascii="宋体" w:hAnsi="宋体" w:eastAsia="宋体" w:cs="宋体"/>
          <w:bCs/>
          <w:szCs w:val="24"/>
          <w:lang w:val="zh-CN" w:eastAsia="zh-CN"/>
        </w:rPr>
        <w:t>乙方定期对用户进行回访，并对用户提出的技术问题及时解决。</w:t>
      </w:r>
    </w:p>
    <w:p w14:paraId="313AFD4F">
      <w:pPr>
        <w:autoSpaceDE w:val="0"/>
        <w:autoSpaceDN w:val="0"/>
        <w:adjustRightInd w:val="0"/>
        <w:snapToGrid w:val="0"/>
        <w:spacing w:line="360" w:lineRule="auto"/>
        <w:ind w:firstLine="422" w:firstLineChars="200"/>
        <w:rPr>
          <w:rFonts w:hint="eastAsia" w:ascii="宋体" w:hAnsi="宋体" w:eastAsia="宋体" w:cs="宋体"/>
          <w:b/>
          <w:bCs/>
          <w:szCs w:val="24"/>
        </w:rPr>
      </w:pPr>
      <w:r>
        <w:rPr>
          <w:rFonts w:hint="eastAsia" w:ascii="宋体" w:hAnsi="宋体" w:eastAsia="宋体" w:cs="宋体"/>
          <w:b/>
          <w:szCs w:val="24"/>
        </w:rPr>
        <w:t xml:space="preserve">第九条  </w:t>
      </w:r>
      <w:r>
        <w:rPr>
          <w:rFonts w:hint="eastAsia" w:ascii="宋体" w:hAnsi="宋体" w:eastAsia="宋体" w:cs="宋体"/>
          <w:b/>
          <w:bCs/>
          <w:szCs w:val="24"/>
        </w:rPr>
        <w:t>验收</w:t>
      </w:r>
    </w:p>
    <w:p w14:paraId="599DA97B">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（一）本项目验收费用，由乙方自行承担。</w:t>
      </w:r>
    </w:p>
    <w:p w14:paraId="266E3B8A">
      <w:pPr>
        <w:spacing w:line="360" w:lineRule="auto"/>
        <w:ind w:firstLine="420" w:firstLineChars="200"/>
        <w:rPr>
          <w:rFonts w:hint="eastAsia" w:ascii="宋体" w:hAnsi="宋体" w:eastAsia="宋体" w:cs="宋体"/>
          <w:szCs w:val="24"/>
        </w:rPr>
      </w:pPr>
      <w:r>
        <w:rPr>
          <w:rFonts w:hint="eastAsia" w:ascii="宋体" w:hAnsi="宋体" w:eastAsia="宋体" w:cs="宋体"/>
          <w:bCs/>
          <w:szCs w:val="24"/>
        </w:rPr>
        <w:t>（二）</w:t>
      </w:r>
      <w:r>
        <w:rPr>
          <w:rFonts w:hint="eastAsia" w:ascii="宋体" w:hAnsi="宋体" w:eastAsia="宋体" w:cs="宋体"/>
          <w:szCs w:val="24"/>
        </w:rPr>
        <w:t>设备到达甲方指定地点后，</w:t>
      </w:r>
      <w:r>
        <w:rPr>
          <w:rFonts w:hint="eastAsia" w:ascii="宋体" w:hAnsi="宋体" w:eastAsia="宋体" w:cs="宋体"/>
          <w:bCs/>
          <w:szCs w:val="24"/>
        </w:rPr>
        <w:t>验货前先提供有效的原厂供货证明文件再</w:t>
      </w:r>
      <w:r>
        <w:rPr>
          <w:rFonts w:hint="eastAsia" w:ascii="宋体" w:hAnsi="宋体" w:eastAsia="宋体" w:cs="宋体"/>
          <w:szCs w:val="24"/>
        </w:rPr>
        <w:t>组织现场开箱请点验货。</w:t>
      </w:r>
      <w:r>
        <w:rPr>
          <w:rFonts w:hint="eastAsia" w:ascii="宋体" w:hAnsi="宋体" w:eastAsia="宋体" w:cs="宋体"/>
          <w:bCs/>
          <w:szCs w:val="24"/>
        </w:rPr>
        <w:t>甲方根据合同要求，对产品进行外观验收、确认产品的产地、规格、型号和数量</w:t>
      </w:r>
      <w:r>
        <w:rPr>
          <w:rFonts w:hint="eastAsia" w:ascii="宋体" w:hAnsi="宋体" w:eastAsia="宋体" w:cs="宋体"/>
          <w:szCs w:val="24"/>
        </w:rPr>
        <w:t>，甲方和乙方共同签署到货验收单。未签收到货验收单的货物不得擅自开箱安装。</w:t>
      </w:r>
    </w:p>
    <w:p w14:paraId="081786A9">
      <w:pPr>
        <w:spacing w:line="360" w:lineRule="auto"/>
        <w:ind w:firstLine="420" w:firstLineChars="200"/>
        <w:rPr>
          <w:rFonts w:hint="eastAsia" w:ascii="宋体" w:hAnsi="宋体" w:eastAsia="宋体" w:cs="宋体"/>
          <w:szCs w:val="24"/>
        </w:rPr>
      </w:pPr>
      <w:r>
        <w:rPr>
          <w:rFonts w:hint="eastAsia" w:ascii="宋体" w:hAnsi="宋体" w:eastAsia="宋体" w:cs="宋体"/>
          <w:szCs w:val="24"/>
        </w:rPr>
        <w:t>（三）乙方保证所有设备是全新的（包括零部件），其规格参数及配件符合</w:t>
      </w:r>
      <w:r>
        <w:rPr>
          <w:rFonts w:hint="eastAsia" w:ascii="宋体" w:hAnsi="宋体" w:eastAsia="宋体" w:cs="宋体"/>
          <w:szCs w:val="24"/>
          <w:lang w:eastAsia="zh-CN"/>
        </w:rPr>
        <w:t>投标文件</w:t>
      </w:r>
      <w:r>
        <w:rPr>
          <w:rFonts w:hint="eastAsia" w:ascii="宋体" w:hAnsi="宋体" w:eastAsia="宋体" w:cs="宋体"/>
          <w:szCs w:val="24"/>
        </w:rPr>
        <w:t>的</w:t>
      </w:r>
      <w:r>
        <w:rPr>
          <w:rFonts w:hint="eastAsia" w:ascii="宋体" w:hAnsi="宋体" w:eastAsia="宋体" w:cs="宋体"/>
          <w:szCs w:val="24"/>
          <w:lang w:val="en-US" w:eastAsia="zh-CN"/>
        </w:rPr>
        <w:t>应答</w:t>
      </w:r>
      <w:r>
        <w:rPr>
          <w:rFonts w:hint="eastAsia" w:ascii="宋体" w:hAnsi="宋体" w:eastAsia="宋体" w:cs="宋体"/>
          <w:szCs w:val="24"/>
        </w:rPr>
        <w:t>。</w:t>
      </w:r>
    </w:p>
    <w:p w14:paraId="3DA991EB">
      <w:pPr>
        <w:spacing w:line="360" w:lineRule="auto"/>
        <w:ind w:firstLine="420" w:firstLineChars="200"/>
        <w:rPr>
          <w:rFonts w:hint="eastAsia" w:ascii="宋体" w:hAnsi="宋体" w:eastAsia="宋体" w:cs="宋体"/>
          <w:szCs w:val="24"/>
        </w:rPr>
      </w:pPr>
      <w:r>
        <w:rPr>
          <w:rFonts w:hint="eastAsia" w:ascii="宋体" w:hAnsi="宋体" w:eastAsia="宋体" w:cs="宋体"/>
          <w:szCs w:val="24"/>
        </w:rPr>
        <w:t>（四）产品安装调试</w:t>
      </w:r>
      <w:r>
        <w:rPr>
          <w:rFonts w:hint="eastAsia" w:ascii="宋体" w:hAnsi="宋体" w:eastAsia="宋体" w:cs="宋体"/>
          <w:szCs w:val="24"/>
          <w:lang w:val="en-US" w:eastAsia="zh-CN"/>
        </w:rPr>
        <w:t>完成</w:t>
      </w:r>
      <w:r>
        <w:rPr>
          <w:rFonts w:hint="eastAsia" w:ascii="宋体" w:hAnsi="宋体" w:eastAsia="宋体" w:cs="宋体"/>
          <w:szCs w:val="24"/>
        </w:rPr>
        <w:t>，乙方自检最终通过后，乙方提出验收申请，甲方组织相关人员进行最终验收。</w:t>
      </w:r>
    </w:p>
    <w:p w14:paraId="72DC7626">
      <w:pPr>
        <w:spacing w:line="360" w:lineRule="auto"/>
        <w:ind w:firstLine="420" w:firstLineChars="200"/>
        <w:rPr>
          <w:rFonts w:hint="eastAsia" w:ascii="宋体" w:hAnsi="宋体" w:eastAsia="宋体" w:cs="宋体"/>
          <w:szCs w:val="24"/>
        </w:rPr>
      </w:pPr>
      <w:r>
        <w:rPr>
          <w:rFonts w:hint="eastAsia" w:ascii="宋体" w:hAnsi="宋体" w:eastAsia="宋体" w:cs="宋体"/>
          <w:szCs w:val="24"/>
        </w:rPr>
        <w:t>（五）甲方确认乙方的自检内容后，会同乙方（必要时请有关专家）进行系统验收，验收合格后，填写项目验收单作为对产品的最终认可。</w:t>
      </w:r>
    </w:p>
    <w:p w14:paraId="04863716">
      <w:pPr>
        <w:spacing w:line="360" w:lineRule="auto"/>
        <w:ind w:firstLine="420" w:firstLineChars="200"/>
        <w:rPr>
          <w:rFonts w:hint="eastAsia" w:ascii="宋体" w:hAnsi="宋体" w:eastAsia="宋体" w:cs="宋体"/>
          <w:szCs w:val="24"/>
        </w:rPr>
      </w:pPr>
      <w:r>
        <w:rPr>
          <w:rFonts w:hint="eastAsia" w:ascii="宋体" w:hAnsi="宋体" w:eastAsia="宋体" w:cs="宋体"/>
          <w:szCs w:val="24"/>
        </w:rPr>
        <w:t>（六）</w:t>
      </w:r>
      <w:r>
        <w:rPr>
          <w:rFonts w:hint="eastAsia" w:ascii="宋体" w:hAnsi="宋体" w:eastAsia="宋体" w:cs="宋体"/>
          <w:szCs w:val="24"/>
          <w:lang w:val="en-US" w:eastAsia="zh-CN"/>
        </w:rPr>
        <w:t>乙方在验收交货时应一并向甲方交付产品合格的资料，包括但不限于：1、合格证；2、出厂检测报告；3、三包服务卡；4、使用说明书及操作手册；5、其他文件或附件。</w:t>
      </w:r>
    </w:p>
    <w:p w14:paraId="24C64591">
      <w:pPr>
        <w:spacing w:line="360" w:lineRule="auto"/>
        <w:ind w:firstLine="420" w:firstLineChars="200"/>
        <w:rPr>
          <w:rFonts w:hint="eastAsia" w:ascii="宋体" w:hAnsi="宋体" w:eastAsia="宋体" w:cs="宋体"/>
          <w:szCs w:val="24"/>
        </w:rPr>
      </w:pPr>
      <w:r>
        <w:rPr>
          <w:rFonts w:hint="eastAsia" w:ascii="宋体" w:hAnsi="宋体" w:eastAsia="宋体" w:cs="宋体"/>
          <w:szCs w:val="24"/>
        </w:rPr>
        <w:t>（</w:t>
      </w:r>
      <w:r>
        <w:rPr>
          <w:rFonts w:hint="eastAsia" w:ascii="宋体" w:hAnsi="宋体" w:eastAsia="宋体" w:cs="宋体"/>
          <w:szCs w:val="24"/>
          <w:lang w:val="en-US" w:eastAsia="zh-CN"/>
        </w:rPr>
        <w:t>七</w:t>
      </w:r>
      <w:r>
        <w:rPr>
          <w:rFonts w:hint="eastAsia" w:ascii="宋体" w:hAnsi="宋体" w:eastAsia="宋体" w:cs="宋体"/>
          <w:szCs w:val="24"/>
        </w:rPr>
        <w:t>）验收依据：</w:t>
      </w:r>
    </w:p>
    <w:p w14:paraId="3F7395A7">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1.本合同及附加文本；</w:t>
      </w:r>
    </w:p>
    <w:p w14:paraId="1302F75A">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2.</w:t>
      </w:r>
      <w:r>
        <w:rPr>
          <w:rFonts w:hint="eastAsia" w:ascii="宋体" w:hAnsi="宋体" w:eastAsia="宋体" w:cs="宋体"/>
          <w:bCs/>
          <w:szCs w:val="24"/>
          <w:lang w:eastAsia="zh-CN"/>
        </w:rPr>
        <w:t>招标文件</w:t>
      </w:r>
      <w:r>
        <w:rPr>
          <w:rFonts w:hint="eastAsia" w:ascii="宋体" w:hAnsi="宋体" w:eastAsia="宋体" w:cs="宋体"/>
          <w:bCs/>
          <w:szCs w:val="24"/>
        </w:rPr>
        <w:t>、成交供应商的</w:t>
      </w:r>
      <w:r>
        <w:rPr>
          <w:rFonts w:hint="eastAsia" w:ascii="宋体" w:hAnsi="宋体" w:eastAsia="宋体" w:cs="宋体"/>
          <w:bCs/>
          <w:szCs w:val="24"/>
          <w:lang w:eastAsia="zh-CN"/>
        </w:rPr>
        <w:t>投标文件、</w:t>
      </w:r>
      <w:r>
        <w:rPr>
          <w:rFonts w:hint="eastAsia" w:ascii="宋体" w:hAnsi="宋体" w:eastAsia="宋体" w:cs="宋体"/>
          <w:bCs/>
          <w:szCs w:val="24"/>
        </w:rPr>
        <w:t>澄清函</w:t>
      </w:r>
      <w:r>
        <w:rPr>
          <w:rFonts w:hint="eastAsia" w:ascii="宋体" w:hAnsi="宋体" w:eastAsia="宋体" w:cs="宋体"/>
          <w:bCs/>
          <w:szCs w:val="24"/>
          <w:lang w:val="en-US" w:eastAsia="zh-CN"/>
        </w:rPr>
        <w:t>及承诺</w:t>
      </w:r>
      <w:r>
        <w:rPr>
          <w:rFonts w:hint="eastAsia" w:ascii="宋体" w:hAnsi="宋体" w:eastAsia="宋体" w:cs="宋体"/>
          <w:bCs/>
          <w:szCs w:val="24"/>
        </w:rPr>
        <w:t>；</w:t>
      </w:r>
    </w:p>
    <w:p w14:paraId="4D209EFC">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3.国家相应的标准、规范。</w:t>
      </w:r>
    </w:p>
    <w:p w14:paraId="2D262AF7">
      <w:pPr>
        <w:autoSpaceDE w:val="0"/>
        <w:autoSpaceDN w:val="0"/>
        <w:adjustRightInd w:val="0"/>
        <w:snapToGrid w:val="0"/>
        <w:spacing w:line="360" w:lineRule="auto"/>
        <w:ind w:firstLine="422" w:firstLineChars="200"/>
        <w:rPr>
          <w:rFonts w:hint="eastAsia" w:ascii="宋体" w:hAnsi="宋体" w:eastAsia="宋体" w:cs="宋体"/>
          <w:b/>
          <w:bCs/>
          <w:szCs w:val="24"/>
        </w:rPr>
      </w:pPr>
      <w:r>
        <w:rPr>
          <w:rFonts w:hint="eastAsia" w:ascii="宋体" w:hAnsi="宋体" w:eastAsia="宋体" w:cs="宋体"/>
          <w:b/>
          <w:szCs w:val="24"/>
        </w:rPr>
        <w:t xml:space="preserve">第十条  </w:t>
      </w:r>
      <w:r>
        <w:rPr>
          <w:rFonts w:hint="eastAsia" w:ascii="宋体" w:hAnsi="宋体" w:eastAsia="宋体" w:cs="宋体"/>
          <w:b/>
          <w:bCs/>
          <w:szCs w:val="24"/>
        </w:rPr>
        <w:t>违约责任</w:t>
      </w:r>
    </w:p>
    <w:p w14:paraId="5864600F">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szCs w:val="24"/>
          <w:lang w:val="zh-CN" w:eastAsia="zh-CN"/>
        </w:rPr>
      </w:pPr>
      <w:r>
        <w:rPr>
          <w:rFonts w:hint="eastAsia" w:ascii="宋体" w:hAnsi="宋体" w:eastAsia="宋体" w:cs="宋体"/>
          <w:bCs/>
          <w:szCs w:val="24"/>
          <w:lang w:val="zh-CN" w:eastAsia="zh-CN"/>
        </w:rPr>
        <w:t>(一) 按《政府采购法》、《民法典》中的相关条款执行。</w:t>
      </w:r>
    </w:p>
    <w:p w14:paraId="0C588059">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szCs w:val="24"/>
          <w:lang w:val="zh-CN" w:eastAsia="zh-CN"/>
        </w:rPr>
      </w:pPr>
      <w:r>
        <w:rPr>
          <w:rFonts w:hint="eastAsia" w:ascii="宋体" w:hAnsi="宋体" w:eastAsia="宋体" w:cs="宋体"/>
          <w:bCs/>
          <w:szCs w:val="24"/>
          <w:lang w:val="zh-CN" w:eastAsia="zh-CN"/>
        </w:rPr>
        <w:t>(二) 未按合同要求提供货物或质量不能满足招标技术要求，乙方必须无条件按甲方要求的时限进行更换、提高技术、完善质量，否则，甲方有权单方解除本合同，合同自甲方书面解除通知送达乙方之日起解除，乙方应当按照合同总价的【10】%向甲方支付违约金，违约金不足以弥补甲方损失的，乙方需另行支付。并对乙方的违约行为报监管机构进行相应的处罚。</w:t>
      </w:r>
    </w:p>
    <w:p w14:paraId="4501FAEB">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szCs w:val="24"/>
          <w:lang w:val="zh-CN" w:eastAsia="zh-CN"/>
        </w:rPr>
      </w:pPr>
      <w:r>
        <w:rPr>
          <w:rFonts w:hint="eastAsia" w:ascii="宋体" w:hAnsi="宋体" w:eastAsia="宋体" w:cs="宋体"/>
          <w:bCs/>
          <w:szCs w:val="24"/>
          <w:lang w:val="zh-CN" w:eastAsia="zh-CN"/>
        </w:rPr>
        <w:t xml:space="preserve">(三) 交货期每超过一天，扣除乙方合同总价款的1‰ ，迟延交货超过【90】天的，视为乙方根本违约，甲方有权依据本条第(二)款之约定单方解除本协议。 </w:t>
      </w:r>
    </w:p>
    <w:p w14:paraId="081ACCAF">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szCs w:val="24"/>
          <w:lang w:val="zh-CN" w:eastAsia="zh-CN"/>
        </w:rPr>
      </w:pPr>
      <w:r>
        <w:rPr>
          <w:rFonts w:hint="eastAsia" w:ascii="宋体" w:hAnsi="宋体" w:eastAsia="宋体" w:cs="宋体"/>
          <w:bCs/>
          <w:szCs w:val="24"/>
          <w:lang w:val="zh-CN" w:eastAsia="zh-CN"/>
        </w:rPr>
        <w:t>(四) 乙方应确保所供货物不存在任何权利瑕疵，否则，因此产生的纠纷由乙方负责解决并承担全部赔偿责任，甲方因此被索赔时，有权就 其支出的全部费用向乙方追偿。</w:t>
      </w:r>
    </w:p>
    <w:p w14:paraId="499E6A1B">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szCs w:val="24"/>
          <w:lang w:val="zh-CN" w:eastAsia="zh-CN"/>
        </w:rPr>
      </w:pPr>
      <w:r>
        <w:rPr>
          <w:rFonts w:hint="eastAsia" w:ascii="宋体" w:hAnsi="宋体" w:eastAsia="宋体" w:cs="宋体"/>
          <w:bCs/>
          <w:szCs w:val="24"/>
          <w:lang w:val="zh-CN" w:eastAsia="zh-CN"/>
        </w:rPr>
        <w:t>(五) 乙方违约时，甲方为主张权利而支出的律师费、诉讼费、保全费、保全保险费、差旅 费等费用由乙方承担。</w:t>
      </w:r>
    </w:p>
    <w:p w14:paraId="63DFDE69">
      <w:pPr>
        <w:autoSpaceDE w:val="0"/>
        <w:autoSpaceDN w:val="0"/>
        <w:adjustRightInd w:val="0"/>
        <w:spacing w:line="360" w:lineRule="auto"/>
        <w:ind w:firstLine="422" w:firstLineChars="200"/>
        <w:rPr>
          <w:rFonts w:hint="eastAsia" w:ascii="宋体" w:hAnsi="宋体" w:eastAsia="宋体" w:cs="宋体"/>
          <w:b/>
          <w:bCs/>
          <w:szCs w:val="24"/>
        </w:rPr>
      </w:pPr>
      <w:r>
        <w:rPr>
          <w:rFonts w:hint="eastAsia" w:ascii="宋体" w:hAnsi="宋体" w:eastAsia="宋体" w:cs="宋体"/>
          <w:b/>
          <w:szCs w:val="24"/>
        </w:rPr>
        <w:t xml:space="preserve">第十一条  </w:t>
      </w:r>
      <w:r>
        <w:rPr>
          <w:rFonts w:hint="eastAsia" w:ascii="宋体" w:hAnsi="宋体" w:eastAsia="宋体" w:cs="宋体"/>
          <w:b/>
          <w:bCs/>
          <w:szCs w:val="24"/>
        </w:rPr>
        <w:t>合同争议解决的方式</w:t>
      </w:r>
    </w:p>
    <w:p w14:paraId="2EDCACDB">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本合同在履行过程中发生的争议，由甲、乙双方当事人协商解决，协商不成的按下列第</w:t>
      </w:r>
      <w:r>
        <w:rPr>
          <w:rFonts w:hint="eastAsia" w:ascii="宋体" w:hAnsi="宋体" w:eastAsia="宋体" w:cs="宋体"/>
          <w:bCs/>
          <w:szCs w:val="24"/>
          <w:u w:val="single"/>
        </w:rPr>
        <w:t xml:space="preserve"> 2 </w:t>
      </w:r>
      <w:r>
        <w:rPr>
          <w:rFonts w:hint="eastAsia" w:ascii="宋体" w:hAnsi="宋体" w:eastAsia="宋体" w:cs="宋体"/>
          <w:bCs/>
          <w:szCs w:val="24"/>
        </w:rPr>
        <w:t>种方式解决：</w:t>
      </w:r>
    </w:p>
    <w:p w14:paraId="4C1222CA">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1.提交西安仲裁委员会仲裁；</w:t>
      </w:r>
    </w:p>
    <w:p w14:paraId="6B419493">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2.依法向甲方所在地人民法院起诉。</w:t>
      </w:r>
    </w:p>
    <w:p w14:paraId="2A849967">
      <w:pPr>
        <w:autoSpaceDE w:val="0"/>
        <w:autoSpaceDN w:val="0"/>
        <w:adjustRightInd w:val="0"/>
        <w:spacing w:line="360" w:lineRule="auto"/>
        <w:ind w:firstLine="422" w:firstLineChars="200"/>
        <w:rPr>
          <w:rFonts w:hint="eastAsia" w:ascii="宋体" w:hAnsi="宋体" w:eastAsia="宋体" w:cs="宋体"/>
          <w:b/>
          <w:bCs/>
          <w:szCs w:val="24"/>
        </w:rPr>
      </w:pPr>
      <w:r>
        <w:rPr>
          <w:rFonts w:hint="eastAsia" w:ascii="宋体" w:hAnsi="宋体" w:eastAsia="宋体" w:cs="宋体"/>
          <w:b/>
          <w:szCs w:val="24"/>
        </w:rPr>
        <w:t xml:space="preserve">第十二条  </w:t>
      </w:r>
      <w:r>
        <w:rPr>
          <w:rFonts w:hint="eastAsia" w:ascii="宋体" w:hAnsi="宋体" w:eastAsia="宋体" w:cs="宋体"/>
          <w:b/>
          <w:bCs/>
          <w:szCs w:val="24"/>
        </w:rPr>
        <w:t>合同生效</w:t>
      </w:r>
    </w:p>
    <w:p w14:paraId="0369528D">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（一）本合同须经甲、乙双方的法定代表人（授权代理人）在合同书上签字并加盖本单位公章后正式生效。</w:t>
      </w:r>
    </w:p>
    <w:p w14:paraId="00A6A970">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（二）合同生效后，甲、乙双方须严格执行本合同条款的规定，全面履行合同，违者按《中华人民共和国民法典》的有关规定承担相应责任。</w:t>
      </w:r>
    </w:p>
    <w:p w14:paraId="5C8CD01B">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（三）本合同一式</w:t>
      </w:r>
      <w:r>
        <w:rPr>
          <w:rFonts w:hint="eastAsia" w:ascii="宋体" w:hAnsi="宋体" w:eastAsia="宋体" w:cs="宋体"/>
          <w:bCs/>
          <w:szCs w:val="24"/>
          <w:u w:val="single"/>
        </w:rPr>
        <w:t xml:space="preserve">     </w:t>
      </w:r>
      <w:r>
        <w:rPr>
          <w:rFonts w:hint="eastAsia" w:ascii="宋体" w:hAnsi="宋体" w:eastAsia="宋体" w:cs="宋体"/>
          <w:bCs/>
          <w:szCs w:val="24"/>
        </w:rPr>
        <w:t>份，甲乙双方各执</w:t>
      </w:r>
      <w:r>
        <w:rPr>
          <w:rFonts w:hint="eastAsia" w:ascii="宋体" w:hAnsi="宋体" w:eastAsia="宋体" w:cs="宋体"/>
          <w:bCs/>
          <w:szCs w:val="24"/>
          <w:u w:val="single"/>
        </w:rPr>
        <w:t xml:space="preserve">      </w:t>
      </w:r>
      <w:r>
        <w:rPr>
          <w:rFonts w:hint="eastAsia" w:ascii="宋体" w:hAnsi="宋体" w:eastAsia="宋体" w:cs="宋体"/>
          <w:bCs/>
          <w:szCs w:val="24"/>
        </w:rPr>
        <w:t>份，采购代理机构一份。</w:t>
      </w:r>
    </w:p>
    <w:p w14:paraId="06C99CE8">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（四）本合同如有未尽事宜，甲、乙双方协商解决。</w:t>
      </w:r>
    </w:p>
    <w:p w14:paraId="327CF736">
      <w:pPr>
        <w:autoSpaceDE w:val="0"/>
        <w:autoSpaceDN w:val="0"/>
        <w:adjustRightInd w:val="0"/>
        <w:spacing w:line="360" w:lineRule="auto"/>
        <w:jc w:val="center"/>
        <w:rPr>
          <w:rFonts w:hint="eastAsia" w:ascii="宋体" w:hAnsi="宋体" w:eastAsia="宋体" w:cs="宋体"/>
          <w:bCs/>
          <w:szCs w:val="24"/>
        </w:rPr>
      </w:pPr>
    </w:p>
    <w:p w14:paraId="45834BBE">
      <w:pPr>
        <w:autoSpaceDE w:val="0"/>
        <w:autoSpaceDN w:val="0"/>
        <w:adjustRightInd w:val="0"/>
        <w:spacing w:line="360" w:lineRule="auto"/>
        <w:jc w:val="center"/>
        <w:rPr>
          <w:rFonts w:hint="eastAsia" w:ascii="宋体" w:hAnsi="宋体" w:eastAsia="宋体" w:cs="宋体"/>
          <w:bCs/>
          <w:szCs w:val="24"/>
        </w:rPr>
      </w:pPr>
      <w:r>
        <w:rPr>
          <w:rFonts w:hint="eastAsia" w:ascii="宋体" w:hAnsi="宋体" w:eastAsia="宋体" w:cs="宋体"/>
          <w:bCs/>
          <w:szCs w:val="24"/>
        </w:rPr>
        <w:t>（</w:t>
      </w:r>
      <w:r>
        <w:rPr>
          <w:rFonts w:hint="eastAsia" w:ascii="宋体" w:hAnsi="宋体" w:eastAsia="宋体" w:cs="宋体"/>
          <w:bCs/>
          <w:szCs w:val="24"/>
          <w:lang w:val="en-US" w:eastAsia="zh-CN"/>
        </w:rPr>
        <w:t>以下</w:t>
      </w:r>
      <w:r>
        <w:rPr>
          <w:rFonts w:hint="eastAsia" w:ascii="宋体" w:hAnsi="宋体" w:eastAsia="宋体" w:cs="宋体"/>
          <w:bCs/>
          <w:szCs w:val="24"/>
        </w:rPr>
        <w:t>无正文）</w:t>
      </w:r>
    </w:p>
    <w:p w14:paraId="04F978BF">
      <w:pPr>
        <w:pStyle w:val="7"/>
        <w:rPr>
          <w:rFonts w:hint="eastAsia" w:ascii="宋体" w:hAnsi="宋体" w:eastAsia="宋体" w:cs="宋体"/>
        </w:rPr>
      </w:pPr>
    </w:p>
    <w:p w14:paraId="687F5DD5">
      <w:pPr>
        <w:pStyle w:val="7"/>
        <w:rPr>
          <w:rFonts w:hint="eastAsia" w:ascii="宋体" w:hAnsi="宋体" w:eastAsia="宋体" w:cs="宋体"/>
          <w:sz w:val="24"/>
          <w:szCs w:val="24"/>
        </w:rPr>
      </w:pPr>
    </w:p>
    <w:tbl>
      <w:tblPr>
        <w:tblStyle w:val="10"/>
        <w:tblW w:w="0" w:type="auto"/>
        <w:jc w:val="center"/>
        <w:tblLayout w:type="fixed"/>
        <w:tblCellMar>
          <w:top w:w="0" w:type="dxa"/>
          <w:left w:w="108" w:type="dxa"/>
          <w:bottom w:w="0" w:type="dxa"/>
          <w:right w:w="108" w:type="dxa"/>
        </w:tblCellMar>
      </w:tblPr>
      <w:tblGrid>
        <w:gridCol w:w="4201"/>
        <w:gridCol w:w="4202"/>
      </w:tblGrid>
      <w:tr w14:paraId="041396E0">
        <w:tblPrEx>
          <w:tblCellMar>
            <w:top w:w="0" w:type="dxa"/>
            <w:left w:w="108" w:type="dxa"/>
            <w:bottom w:w="0" w:type="dxa"/>
            <w:right w:w="108" w:type="dxa"/>
          </w:tblCellMar>
        </w:tblPrEx>
        <w:trPr>
          <w:trHeight w:val="567" w:hRule="exact"/>
          <w:jc w:val="center"/>
        </w:trPr>
        <w:tc>
          <w:tcPr>
            <w:tcW w:w="4201" w:type="dxa"/>
            <w:noWrap w:val="0"/>
            <w:vAlign w:val="center"/>
          </w:tcPr>
          <w:p w14:paraId="54E8FE78">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甲  方</w:t>
            </w:r>
          </w:p>
        </w:tc>
        <w:tc>
          <w:tcPr>
            <w:tcW w:w="4202" w:type="dxa"/>
            <w:noWrap w:val="0"/>
            <w:vAlign w:val="center"/>
          </w:tcPr>
          <w:p w14:paraId="7ADB8111">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乙  方</w:t>
            </w:r>
          </w:p>
        </w:tc>
      </w:tr>
      <w:tr w14:paraId="3DE7E04A">
        <w:tblPrEx>
          <w:tblCellMar>
            <w:top w:w="0" w:type="dxa"/>
            <w:left w:w="108" w:type="dxa"/>
            <w:bottom w:w="0" w:type="dxa"/>
            <w:right w:w="108" w:type="dxa"/>
          </w:tblCellMar>
        </w:tblPrEx>
        <w:trPr>
          <w:trHeight w:val="567" w:hRule="exact"/>
          <w:jc w:val="center"/>
        </w:trPr>
        <w:tc>
          <w:tcPr>
            <w:tcW w:w="4201" w:type="dxa"/>
            <w:noWrap w:val="0"/>
            <w:vAlign w:val="center"/>
          </w:tcPr>
          <w:p w14:paraId="2C5275EF">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（盖章）</w:t>
            </w:r>
          </w:p>
        </w:tc>
        <w:tc>
          <w:tcPr>
            <w:tcW w:w="4202" w:type="dxa"/>
            <w:noWrap w:val="0"/>
            <w:vAlign w:val="center"/>
          </w:tcPr>
          <w:p w14:paraId="1EAC741C">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（盖章）</w:t>
            </w:r>
          </w:p>
        </w:tc>
      </w:tr>
      <w:tr w14:paraId="32785673">
        <w:tblPrEx>
          <w:tblCellMar>
            <w:top w:w="0" w:type="dxa"/>
            <w:left w:w="108" w:type="dxa"/>
            <w:bottom w:w="0" w:type="dxa"/>
            <w:right w:w="108" w:type="dxa"/>
          </w:tblCellMar>
        </w:tblPrEx>
        <w:trPr>
          <w:trHeight w:val="567" w:hRule="exact"/>
          <w:jc w:val="center"/>
        </w:trPr>
        <w:tc>
          <w:tcPr>
            <w:tcW w:w="4201" w:type="dxa"/>
            <w:noWrap w:val="0"/>
            <w:vAlign w:val="center"/>
          </w:tcPr>
          <w:p w14:paraId="70F369BD">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 xml:space="preserve">地址： </w:t>
            </w:r>
          </w:p>
        </w:tc>
        <w:tc>
          <w:tcPr>
            <w:tcW w:w="4202" w:type="dxa"/>
            <w:noWrap w:val="0"/>
            <w:vAlign w:val="center"/>
          </w:tcPr>
          <w:p w14:paraId="1CADF9BD">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地址：</w:t>
            </w:r>
          </w:p>
        </w:tc>
      </w:tr>
      <w:tr w14:paraId="441F290B">
        <w:tblPrEx>
          <w:tblCellMar>
            <w:top w:w="0" w:type="dxa"/>
            <w:left w:w="108" w:type="dxa"/>
            <w:bottom w:w="0" w:type="dxa"/>
            <w:right w:w="108" w:type="dxa"/>
          </w:tblCellMar>
        </w:tblPrEx>
        <w:trPr>
          <w:trHeight w:val="567" w:hRule="exact"/>
          <w:jc w:val="center"/>
        </w:trPr>
        <w:tc>
          <w:tcPr>
            <w:tcW w:w="4201" w:type="dxa"/>
            <w:noWrap w:val="0"/>
            <w:vAlign w:val="center"/>
          </w:tcPr>
          <w:p w14:paraId="7555EFA1">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邮编：</w:t>
            </w:r>
          </w:p>
        </w:tc>
        <w:tc>
          <w:tcPr>
            <w:tcW w:w="4202" w:type="dxa"/>
            <w:noWrap w:val="0"/>
            <w:vAlign w:val="center"/>
          </w:tcPr>
          <w:p w14:paraId="7952A087">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邮编：</w:t>
            </w:r>
          </w:p>
        </w:tc>
      </w:tr>
      <w:tr w14:paraId="7C802EF7">
        <w:tblPrEx>
          <w:tblCellMar>
            <w:top w:w="0" w:type="dxa"/>
            <w:left w:w="108" w:type="dxa"/>
            <w:bottom w:w="0" w:type="dxa"/>
            <w:right w:w="108" w:type="dxa"/>
          </w:tblCellMar>
        </w:tblPrEx>
        <w:trPr>
          <w:trHeight w:val="567" w:hRule="exact"/>
          <w:jc w:val="center"/>
        </w:trPr>
        <w:tc>
          <w:tcPr>
            <w:tcW w:w="4201" w:type="dxa"/>
            <w:noWrap w:val="0"/>
            <w:vAlign w:val="center"/>
          </w:tcPr>
          <w:p w14:paraId="7D5C9AEB">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 xml:space="preserve">法定代表人： </w:t>
            </w:r>
          </w:p>
        </w:tc>
        <w:tc>
          <w:tcPr>
            <w:tcW w:w="4202" w:type="dxa"/>
            <w:noWrap w:val="0"/>
            <w:vAlign w:val="center"/>
          </w:tcPr>
          <w:p w14:paraId="26FD5AFF">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法定代表人：</w:t>
            </w:r>
          </w:p>
        </w:tc>
      </w:tr>
      <w:tr w14:paraId="041B3A13">
        <w:tblPrEx>
          <w:tblCellMar>
            <w:top w:w="0" w:type="dxa"/>
            <w:left w:w="108" w:type="dxa"/>
            <w:bottom w:w="0" w:type="dxa"/>
            <w:right w:w="108" w:type="dxa"/>
          </w:tblCellMar>
        </w:tblPrEx>
        <w:trPr>
          <w:trHeight w:val="567" w:hRule="exact"/>
          <w:jc w:val="center"/>
        </w:trPr>
        <w:tc>
          <w:tcPr>
            <w:tcW w:w="4201" w:type="dxa"/>
            <w:noWrap w:val="0"/>
            <w:vAlign w:val="center"/>
          </w:tcPr>
          <w:p w14:paraId="0AA1D4D4">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被授权代表：</w:t>
            </w:r>
          </w:p>
        </w:tc>
        <w:tc>
          <w:tcPr>
            <w:tcW w:w="4202" w:type="dxa"/>
            <w:noWrap w:val="0"/>
            <w:vAlign w:val="center"/>
          </w:tcPr>
          <w:p w14:paraId="5A68D391">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被授权代表：</w:t>
            </w:r>
          </w:p>
        </w:tc>
      </w:tr>
      <w:tr w14:paraId="1D5F118D">
        <w:tblPrEx>
          <w:tblCellMar>
            <w:top w:w="0" w:type="dxa"/>
            <w:left w:w="108" w:type="dxa"/>
            <w:bottom w:w="0" w:type="dxa"/>
            <w:right w:w="108" w:type="dxa"/>
          </w:tblCellMar>
        </w:tblPrEx>
        <w:trPr>
          <w:trHeight w:val="567" w:hRule="exact"/>
          <w:jc w:val="center"/>
        </w:trPr>
        <w:tc>
          <w:tcPr>
            <w:tcW w:w="4201" w:type="dxa"/>
            <w:noWrap w:val="0"/>
            <w:vAlign w:val="center"/>
          </w:tcPr>
          <w:p w14:paraId="497F6E38">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电话：</w:t>
            </w:r>
          </w:p>
        </w:tc>
        <w:tc>
          <w:tcPr>
            <w:tcW w:w="4202" w:type="dxa"/>
            <w:noWrap w:val="0"/>
            <w:vAlign w:val="center"/>
          </w:tcPr>
          <w:p w14:paraId="537AB079">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电话：</w:t>
            </w:r>
          </w:p>
        </w:tc>
      </w:tr>
      <w:tr w14:paraId="471B069C">
        <w:tblPrEx>
          <w:tblCellMar>
            <w:top w:w="0" w:type="dxa"/>
            <w:left w:w="108" w:type="dxa"/>
            <w:bottom w:w="0" w:type="dxa"/>
            <w:right w:w="108" w:type="dxa"/>
          </w:tblCellMar>
        </w:tblPrEx>
        <w:trPr>
          <w:trHeight w:val="567" w:hRule="exact"/>
          <w:jc w:val="center"/>
        </w:trPr>
        <w:tc>
          <w:tcPr>
            <w:tcW w:w="4201" w:type="dxa"/>
            <w:noWrap w:val="0"/>
            <w:vAlign w:val="center"/>
          </w:tcPr>
          <w:p w14:paraId="01C944F3">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传真：</w:t>
            </w:r>
          </w:p>
        </w:tc>
        <w:tc>
          <w:tcPr>
            <w:tcW w:w="4202" w:type="dxa"/>
            <w:noWrap w:val="0"/>
            <w:vAlign w:val="center"/>
          </w:tcPr>
          <w:p w14:paraId="2B142AB5">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传真：</w:t>
            </w:r>
          </w:p>
        </w:tc>
      </w:tr>
      <w:tr w14:paraId="555EB0FC">
        <w:tblPrEx>
          <w:tblCellMar>
            <w:top w:w="0" w:type="dxa"/>
            <w:left w:w="108" w:type="dxa"/>
            <w:bottom w:w="0" w:type="dxa"/>
            <w:right w:w="108" w:type="dxa"/>
          </w:tblCellMar>
        </w:tblPrEx>
        <w:trPr>
          <w:trHeight w:val="567" w:hRule="exact"/>
          <w:jc w:val="center"/>
        </w:trPr>
        <w:tc>
          <w:tcPr>
            <w:tcW w:w="4201" w:type="dxa"/>
            <w:noWrap w:val="0"/>
            <w:vAlign w:val="center"/>
          </w:tcPr>
          <w:p w14:paraId="059C3553">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开户银行：</w:t>
            </w:r>
          </w:p>
        </w:tc>
        <w:tc>
          <w:tcPr>
            <w:tcW w:w="4202" w:type="dxa"/>
            <w:noWrap w:val="0"/>
            <w:vAlign w:val="center"/>
          </w:tcPr>
          <w:p w14:paraId="1E9B6CC2">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开户银行：</w:t>
            </w:r>
          </w:p>
        </w:tc>
      </w:tr>
      <w:tr w14:paraId="366A4A34">
        <w:tblPrEx>
          <w:tblCellMar>
            <w:top w:w="0" w:type="dxa"/>
            <w:left w:w="108" w:type="dxa"/>
            <w:bottom w:w="0" w:type="dxa"/>
            <w:right w:w="108" w:type="dxa"/>
          </w:tblCellMar>
        </w:tblPrEx>
        <w:trPr>
          <w:trHeight w:val="567" w:hRule="exact"/>
          <w:jc w:val="center"/>
        </w:trPr>
        <w:tc>
          <w:tcPr>
            <w:tcW w:w="4201" w:type="dxa"/>
            <w:noWrap w:val="0"/>
            <w:vAlign w:val="center"/>
          </w:tcPr>
          <w:p w14:paraId="3AE48E7B">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日期：</w:t>
            </w:r>
          </w:p>
        </w:tc>
        <w:tc>
          <w:tcPr>
            <w:tcW w:w="4202" w:type="dxa"/>
            <w:noWrap w:val="0"/>
            <w:vAlign w:val="center"/>
          </w:tcPr>
          <w:p w14:paraId="59D4388C">
            <w:pPr>
              <w:autoSpaceDE w:val="0"/>
              <w:autoSpaceDN w:val="0"/>
              <w:adjustRightInd w:val="0"/>
              <w:spacing w:line="360" w:lineRule="auto"/>
              <w:ind w:firstLine="420" w:firstLineChars="200"/>
              <w:rPr>
                <w:rFonts w:hint="eastAsia" w:ascii="宋体" w:hAnsi="宋体" w:eastAsia="宋体" w:cs="宋体"/>
                <w:bCs/>
                <w:szCs w:val="24"/>
              </w:rPr>
            </w:pPr>
            <w:r>
              <w:rPr>
                <w:rFonts w:hint="eastAsia" w:ascii="宋体" w:hAnsi="宋体" w:eastAsia="宋体" w:cs="宋体"/>
                <w:bCs/>
                <w:szCs w:val="24"/>
              </w:rPr>
              <w:t>日期：</w:t>
            </w:r>
          </w:p>
        </w:tc>
      </w:tr>
    </w:tbl>
    <w:p w14:paraId="2920EB5E">
      <w:pPr>
        <w:pStyle w:val="2"/>
        <w:jc w:val="both"/>
      </w:pPr>
    </w:p>
    <w:p w14:paraId="1B4BF700">
      <w:pPr>
        <w:pStyle w:val="9"/>
      </w:pPr>
    </w:p>
    <w:p w14:paraId="323B6A13">
      <w:r>
        <w:br w:type="page"/>
      </w:r>
    </w:p>
    <w:p w14:paraId="42E35155">
      <w:pPr>
        <w:pStyle w:val="4"/>
        <w:pageBreakBefore w:val="0"/>
        <w:kinsoku/>
        <w:wordWrap/>
        <w:overflowPunct/>
        <w:topLinePunct w:val="0"/>
        <w:autoSpaceDE/>
        <w:autoSpaceDN/>
        <w:bidi w:val="0"/>
        <w:adjustRightInd/>
        <w:snapToGrid w:val="0"/>
        <w:spacing w:before="0" w:after="0" w:line="360" w:lineRule="auto"/>
        <w:textAlignment w:val="auto"/>
        <w:rPr>
          <w:rFonts w:hint="eastAsia" w:ascii="宋体" w:hAnsi="宋体" w:eastAsia="宋体" w:cs="宋体"/>
          <w:color w:val="auto"/>
          <w:sz w:val="24"/>
          <w:szCs w:val="24"/>
          <w:lang w:val="en-US" w:eastAsia="zh-CN"/>
        </w:rPr>
      </w:pPr>
      <w:bookmarkStart w:id="0" w:name="_Toc22830"/>
      <w:r>
        <w:rPr>
          <w:rFonts w:hint="eastAsia" w:ascii="宋体" w:hAnsi="宋体" w:eastAsia="宋体" w:cs="宋体"/>
          <w:color w:val="auto"/>
          <w:sz w:val="24"/>
          <w:szCs w:val="24"/>
          <w:lang w:val="en-US" w:eastAsia="zh-CN"/>
        </w:rPr>
        <w:t>附件一、电力电缆清单</w:t>
      </w:r>
      <w:bookmarkEnd w:id="0"/>
    </w:p>
    <w:tbl>
      <w:tblPr>
        <w:tblStyle w:val="10"/>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8"/>
        <w:gridCol w:w="1433"/>
        <w:gridCol w:w="658"/>
        <w:gridCol w:w="658"/>
        <w:gridCol w:w="701"/>
        <w:gridCol w:w="879"/>
        <w:gridCol w:w="658"/>
        <w:gridCol w:w="879"/>
        <w:gridCol w:w="658"/>
        <w:gridCol w:w="881"/>
        <w:gridCol w:w="880"/>
      </w:tblGrid>
      <w:tr w14:paraId="0C727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36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338F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8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C132A2F">
            <w:pPr>
              <w:keepNext w:val="0"/>
              <w:keepLines w:val="0"/>
              <w:widowControl/>
              <w:suppressLineNumbers w:val="0"/>
              <w:jc w:val="center"/>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规格（mm2）</w:t>
            </w:r>
          </w:p>
        </w:tc>
        <w:tc>
          <w:tcPr>
            <w:tcW w:w="36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C64C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36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DB27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2603"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DF92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电缆型号参数及单价</w:t>
            </w:r>
          </w:p>
        </w:tc>
        <w:tc>
          <w:tcPr>
            <w:tcW w:w="4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3C201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小计（元）</w:t>
            </w:r>
          </w:p>
        </w:tc>
      </w:tr>
      <w:tr w14:paraId="4EA64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0"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6D0C7">
            <w:pPr>
              <w:jc w:val="center"/>
              <w:rPr>
                <w:rFonts w:hint="eastAsia" w:ascii="宋体" w:hAnsi="宋体" w:eastAsia="宋体" w:cs="宋体"/>
                <w:b/>
                <w:bCs/>
                <w:i w:val="0"/>
                <w:iCs w:val="0"/>
                <w:color w:val="000000"/>
                <w:sz w:val="22"/>
                <w:szCs w:val="22"/>
                <w:u w:val="none"/>
              </w:rPr>
            </w:pPr>
          </w:p>
        </w:tc>
        <w:tc>
          <w:tcPr>
            <w:tcW w:w="80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D2E88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电力电缆：</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0.6/1kV</w:t>
            </w:r>
          </w:p>
        </w:tc>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72021">
            <w:pPr>
              <w:jc w:val="center"/>
              <w:rPr>
                <w:rFonts w:hint="eastAsia" w:ascii="宋体" w:hAnsi="宋体" w:eastAsia="宋体" w:cs="宋体"/>
                <w:b/>
                <w:bCs/>
                <w:i w:val="0"/>
                <w:iCs w:val="0"/>
                <w:color w:val="000000"/>
                <w:sz w:val="22"/>
                <w:szCs w:val="22"/>
                <w:u w:val="none"/>
              </w:rPr>
            </w:pPr>
          </w:p>
        </w:tc>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446EE">
            <w:pPr>
              <w:jc w:val="center"/>
              <w:rPr>
                <w:rFonts w:hint="eastAsia" w:ascii="宋体" w:hAnsi="宋体" w:eastAsia="宋体" w:cs="宋体"/>
                <w:b/>
                <w:bCs/>
                <w:i w:val="0"/>
                <w:iCs w:val="0"/>
                <w:color w:val="000000"/>
                <w:sz w:val="22"/>
                <w:szCs w:val="22"/>
                <w:u w:val="none"/>
              </w:rPr>
            </w:pPr>
          </w:p>
        </w:tc>
        <w:tc>
          <w:tcPr>
            <w:tcW w:w="8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08725C">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YJV（铜芯交联</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聚乙烯绝缘聚</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氯乙烯护套电</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力电缆）</w:t>
            </w:r>
          </w:p>
        </w:tc>
        <w:tc>
          <w:tcPr>
            <w:tcW w:w="85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382C97">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YJV22（铜芯交联</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聚乙烯绝缘钢带</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铠装聚氯乙烯护</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套电力电缆）</w:t>
            </w:r>
          </w:p>
        </w:tc>
        <w:tc>
          <w:tcPr>
            <w:tcW w:w="85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E1EAB6">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WDZ-YJE（低烟</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无卤阻燃(交</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联)聚烯烃绝缘</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护套电力电缆）</w:t>
            </w:r>
          </w:p>
        </w:tc>
        <w:tc>
          <w:tcPr>
            <w:tcW w:w="4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10B2B3">
            <w:pPr>
              <w:jc w:val="center"/>
              <w:rPr>
                <w:rFonts w:hint="eastAsia" w:ascii="宋体" w:hAnsi="宋体" w:eastAsia="宋体" w:cs="宋体"/>
                <w:b/>
                <w:bCs/>
                <w:i w:val="0"/>
                <w:iCs w:val="0"/>
                <w:color w:val="000000"/>
                <w:sz w:val="22"/>
                <w:szCs w:val="22"/>
                <w:u w:val="none"/>
              </w:rPr>
            </w:pPr>
          </w:p>
        </w:tc>
      </w:tr>
      <w:tr w14:paraId="622D0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0D452">
            <w:pPr>
              <w:jc w:val="center"/>
              <w:rPr>
                <w:rFonts w:hint="eastAsia" w:ascii="宋体" w:hAnsi="宋体" w:eastAsia="宋体" w:cs="宋体"/>
                <w:b/>
                <w:bCs/>
                <w:i w:val="0"/>
                <w:iCs w:val="0"/>
                <w:color w:val="000000"/>
                <w:sz w:val="22"/>
                <w:szCs w:val="22"/>
                <w:u w:val="none"/>
              </w:rPr>
            </w:pPr>
          </w:p>
        </w:tc>
        <w:tc>
          <w:tcPr>
            <w:tcW w:w="8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2A9225">
            <w:pPr>
              <w:jc w:val="center"/>
              <w:rPr>
                <w:rFonts w:hint="eastAsia" w:ascii="宋体" w:hAnsi="宋体" w:eastAsia="宋体" w:cs="宋体"/>
                <w:b/>
                <w:bCs/>
                <w:i w:val="0"/>
                <w:iCs w:val="0"/>
                <w:color w:val="000000"/>
                <w:sz w:val="22"/>
                <w:szCs w:val="22"/>
                <w:u w:val="none"/>
              </w:rPr>
            </w:pPr>
          </w:p>
        </w:tc>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6D915">
            <w:pPr>
              <w:jc w:val="center"/>
              <w:rPr>
                <w:rFonts w:hint="eastAsia" w:ascii="宋体" w:hAnsi="宋体" w:eastAsia="宋体" w:cs="宋体"/>
                <w:b/>
                <w:bCs/>
                <w:i w:val="0"/>
                <w:iCs w:val="0"/>
                <w:color w:val="000000"/>
                <w:sz w:val="22"/>
                <w:szCs w:val="22"/>
                <w:u w:val="none"/>
              </w:rPr>
            </w:pPr>
          </w:p>
        </w:tc>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9E2C8">
            <w:pPr>
              <w:jc w:val="center"/>
              <w:rPr>
                <w:rFonts w:hint="eastAsia" w:ascii="宋体" w:hAnsi="宋体" w:eastAsia="宋体" w:cs="宋体"/>
                <w:b/>
                <w:bCs/>
                <w:i w:val="0"/>
                <w:iCs w:val="0"/>
                <w:color w:val="000000"/>
                <w:sz w:val="22"/>
                <w:szCs w:val="22"/>
                <w:u w:val="none"/>
              </w:rPr>
            </w:pPr>
          </w:p>
        </w:tc>
        <w:tc>
          <w:tcPr>
            <w:tcW w:w="3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13FC6">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品牌</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67202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单价（元）</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13B8E">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品牌</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5FE8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单价（元）</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3A9E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品牌</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5FBD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单价（元）</w:t>
            </w:r>
          </w:p>
        </w:tc>
        <w:tc>
          <w:tcPr>
            <w:tcW w:w="4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AB45E1">
            <w:pPr>
              <w:jc w:val="center"/>
              <w:rPr>
                <w:rFonts w:hint="eastAsia" w:ascii="宋体" w:hAnsi="宋体" w:eastAsia="宋体" w:cs="宋体"/>
                <w:b/>
                <w:bCs/>
                <w:i w:val="0"/>
                <w:iCs w:val="0"/>
                <w:color w:val="000000"/>
                <w:sz w:val="22"/>
                <w:szCs w:val="22"/>
                <w:u w:val="none"/>
              </w:rPr>
            </w:pPr>
          </w:p>
        </w:tc>
      </w:tr>
      <w:tr w14:paraId="6F311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515C6ED">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F820DA3">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4x400+1x185</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F66B8A2">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8608D17">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DE3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40E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698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401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C13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F71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1468391">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p>
        </w:tc>
      </w:tr>
      <w:tr w14:paraId="747ED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8BBC134">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331E6CE">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4x300+1x150</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F7BC1EE">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15CCB9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967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4D7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98B1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1EA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8977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934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BDE48A9">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p>
        </w:tc>
      </w:tr>
      <w:tr w14:paraId="5954A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598451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8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2493F22">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4x240+1x120</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18B37D9">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DBDF06">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BC4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A4D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1E4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10F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4D95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47F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8B83C41">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p>
        </w:tc>
      </w:tr>
      <w:tr w14:paraId="7672B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C8D1212">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8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D594A30">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4x185+1x95</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9FB8E25">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CEE77F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2B8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BF0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6B3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CF4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21E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FFA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D326B85">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p>
        </w:tc>
      </w:tr>
      <w:tr w14:paraId="79458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090F2B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8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9BC5E7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4x150+1x70</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6E80D2E">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714C71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37E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7C1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91BB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672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0AC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727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3481F83">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p>
        </w:tc>
      </w:tr>
      <w:tr w14:paraId="2AFE2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75CBC4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8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93EF48">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4x120+1x70</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D2044F3">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4708DC">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6C2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D14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916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92B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6BB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B5D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C7D74AC">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p>
        </w:tc>
      </w:tr>
      <w:tr w14:paraId="71D95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8129F4C">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8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AC1E888">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4x95+1x50</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0F4D69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92808D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262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FA3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08A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130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BB23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D93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D135B33">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p>
        </w:tc>
      </w:tr>
      <w:tr w14:paraId="22D5B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9CAFF3E">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8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00C48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4x70+1x35</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B93676E">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7B3AE65">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3434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DE9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B09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6E9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F5F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7D0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661303">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p>
        </w:tc>
      </w:tr>
      <w:tr w14:paraId="2B75C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AE1EB9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8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C43DF8">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4x50+1x25</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787CAD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3860765">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444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F54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BC1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32C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D132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AEE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0077DB3">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p>
        </w:tc>
      </w:tr>
      <w:tr w14:paraId="34E02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B34054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8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7DAAA42">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4x35+1x16</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0588A35">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6162ED5">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ACF3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C8C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AA2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601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D2E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E2D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1DA23B0">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p>
        </w:tc>
      </w:tr>
      <w:tr w14:paraId="53FED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6125BE9">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8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4813282">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4x25+1x16</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B0BD938">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71059A3">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C47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980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8AB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147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9235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6B9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CEF3D23">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p>
        </w:tc>
      </w:tr>
      <w:tr w14:paraId="372D7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DDACDD6">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8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4D9BE60">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4x16+1x10</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244BA0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10A6FC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B5E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7A7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F05B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5B9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4C3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87D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59EA8C">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p>
        </w:tc>
      </w:tr>
      <w:tr w14:paraId="4E8D4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B48CA4E">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80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AEDA275">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5x10</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A98E258">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83AAE5">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926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592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AA4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097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969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787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406D33D">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p>
        </w:tc>
      </w:tr>
      <w:tr w14:paraId="7A668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4508" w:type="pct"/>
            <w:gridSpan w:val="10"/>
            <w:tcBorders>
              <w:top w:val="single" w:color="000000" w:sz="4" w:space="0"/>
              <w:left w:val="single" w:color="000000" w:sz="4" w:space="0"/>
              <w:bottom w:val="single" w:color="000000" w:sz="4" w:space="0"/>
              <w:right w:val="single" w:color="000000" w:sz="4" w:space="0"/>
            </w:tcBorders>
            <w:shd w:val="clear" w:color="auto" w:fill="auto"/>
            <w:noWrap/>
            <w:vAlign w:val="bottom"/>
          </w:tcPr>
          <w:p w14:paraId="05ED4664">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单价合计（元）</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3AD49C8">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p>
        </w:tc>
      </w:tr>
    </w:tbl>
    <w:p w14:paraId="45ECE89B">
      <w:pPr>
        <w:keepNext/>
        <w:keepLines w:val="0"/>
        <w:pageBreakBefore w:val="0"/>
        <w:widowControl/>
        <w:kinsoku/>
        <w:wordWrap/>
        <w:overflowPunct/>
        <w:topLinePunct w:val="0"/>
        <w:autoSpaceDE/>
        <w:autoSpaceDN/>
        <w:bidi w:val="0"/>
        <w:adjustRightInd/>
        <w:snapToGrid w:val="0"/>
        <w:spacing w:before="0" w:after="0" w:line="360" w:lineRule="auto"/>
        <w:textAlignment w:val="auto"/>
        <w:outlineLvl w:val="9"/>
        <w:rPr>
          <w:rFonts w:hint="eastAsia" w:ascii="宋体" w:hAnsi="宋体" w:eastAsia="宋体" w:cs="宋体"/>
          <w:color w:val="auto"/>
          <w:sz w:val="24"/>
          <w:szCs w:val="24"/>
          <w:lang w:val="en-US" w:eastAsia="zh-CN"/>
        </w:rPr>
      </w:pPr>
      <w:bookmarkStart w:id="1" w:name="_Toc23696"/>
    </w:p>
    <w:p w14:paraId="4752740D">
      <w:pPr>
        <w:rPr>
          <w:rFonts w:hint="eastAsia" w:ascii="宋体" w:hAnsi="宋体" w:eastAsia="宋体" w:cs="宋体"/>
          <w:color w:val="auto"/>
          <w:sz w:val="24"/>
          <w:szCs w:val="24"/>
          <w:lang w:val="en-US" w:eastAsia="zh-CN"/>
        </w:rPr>
      </w:pPr>
    </w:p>
    <w:p w14:paraId="5E0F7670">
      <w:pPr>
        <w:pStyle w:val="2"/>
        <w:ind w:left="0" w:leftChars="0" w:firstLine="0" w:firstLineChars="0"/>
        <w:rPr>
          <w:rFonts w:hint="eastAsia"/>
          <w:lang w:val="en-US" w:eastAsia="zh-CN"/>
        </w:rPr>
      </w:pPr>
    </w:p>
    <w:p w14:paraId="2693DD61">
      <w:pPr>
        <w:rPr>
          <w:rFonts w:hint="eastAsia"/>
          <w:lang w:val="en-US" w:eastAsia="zh-CN"/>
        </w:rPr>
      </w:pPr>
    </w:p>
    <w:p w14:paraId="55569826">
      <w:pPr>
        <w:pStyle w:val="4"/>
        <w:pageBreakBefore w:val="0"/>
        <w:kinsoku/>
        <w:wordWrap/>
        <w:overflowPunct/>
        <w:topLinePunct w:val="0"/>
        <w:autoSpaceDE/>
        <w:autoSpaceDN/>
        <w:bidi w:val="0"/>
        <w:adjustRightInd/>
        <w:snapToGrid w:val="0"/>
        <w:spacing w:before="0" w:after="0" w:line="360" w:lineRule="auto"/>
        <w:textAlignment w:val="auto"/>
        <w:rPr>
          <w:rFonts w:hint="eastAsia" w:ascii="宋体" w:hAnsi="宋体" w:eastAsia="宋体" w:cs="宋体"/>
          <w:color w:val="auto"/>
          <w:sz w:val="24"/>
          <w:szCs w:val="24"/>
          <w:lang w:val="en-US" w:eastAsia="zh-CN"/>
        </w:rPr>
        <w:sectPr>
          <w:footerReference r:id="rId3" w:type="default"/>
          <w:pgSz w:w="11906" w:h="16840"/>
          <w:pgMar w:top="1587" w:right="1587" w:bottom="1587" w:left="1587" w:header="850" w:footer="992" w:gutter="0"/>
          <w:cols w:space="0" w:num="1"/>
          <w:rtlGutter w:val="0"/>
          <w:docGrid w:linePitch="0" w:charSpace="0"/>
        </w:sectPr>
      </w:pPr>
    </w:p>
    <w:p w14:paraId="6D0DFDDD">
      <w:pPr>
        <w:pStyle w:val="4"/>
        <w:pageBreakBefore w:val="0"/>
        <w:kinsoku/>
        <w:wordWrap/>
        <w:overflowPunct/>
        <w:topLinePunct w:val="0"/>
        <w:autoSpaceDE/>
        <w:autoSpaceDN/>
        <w:bidi w:val="0"/>
        <w:adjustRightInd/>
        <w:snapToGrid w:val="0"/>
        <w:spacing w:before="0" w:after="0"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附件二、电缆桥架清单</w:t>
      </w:r>
      <w:bookmarkEnd w:id="1"/>
    </w:p>
    <w:tbl>
      <w:tblPr>
        <w:tblStyle w:val="10"/>
        <w:tblW w:w="5131"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99"/>
        <w:gridCol w:w="1240"/>
        <w:gridCol w:w="599"/>
        <w:gridCol w:w="599"/>
        <w:gridCol w:w="1171"/>
        <w:gridCol w:w="943"/>
        <w:gridCol w:w="1102"/>
        <w:gridCol w:w="916"/>
        <w:gridCol w:w="799"/>
        <w:gridCol w:w="1216"/>
      </w:tblGrid>
      <w:tr w14:paraId="25561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3CEC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7603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规格（mm）</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74D6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2F6F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224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D735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型号参数</w:t>
            </w:r>
          </w:p>
        </w:tc>
        <w:tc>
          <w:tcPr>
            <w:tcW w:w="4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199B8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小计（元）</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2F767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品牌</w:t>
            </w:r>
          </w:p>
        </w:tc>
      </w:tr>
      <w:tr w14:paraId="0675A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653" w:type="pct"/>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F22B3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电缆桥架</w:t>
            </w:r>
          </w:p>
        </w:tc>
        <w:tc>
          <w:tcPr>
            <w:tcW w:w="11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8DD7D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普通钢制</w:t>
            </w:r>
          </w:p>
        </w:tc>
        <w:tc>
          <w:tcPr>
            <w:tcW w:w="109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4A463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钢制防火</w:t>
            </w: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F4979A">
            <w:pPr>
              <w:jc w:val="center"/>
              <w:rPr>
                <w:rFonts w:hint="eastAsia" w:ascii="宋体" w:hAnsi="宋体" w:eastAsia="宋体" w:cs="宋体"/>
                <w:b/>
                <w:bCs/>
                <w:i w:val="0"/>
                <w:iCs w:val="0"/>
                <w:color w:val="000000"/>
                <w:sz w:val="22"/>
                <w:szCs w:val="22"/>
                <w:u w:val="none"/>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4E8568">
            <w:pPr>
              <w:jc w:val="center"/>
              <w:rPr>
                <w:rFonts w:hint="eastAsia" w:ascii="宋体" w:hAnsi="宋体" w:eastAsia="宋体" w:cs="宋体"/>
                <w:b/>
                <w:bCs/>
                <w:i w:val="0"/>
                <w:iCs w:val="0"/>
                <w:color w:val="000000"/>
                <w:sz w:val="22"/>
                <w:szCs w:val="22"/>
                <w:u w:val="none"/>
              </w:rPr>
            </w:pPr>
          </w:p>
        </w:tc>
      </w:tr>
      <w:tr w14:paraId="0D671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53"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A5C7AD">
            <w:pPr>
              <w:jc w:val="center"/>
              <w:rPr>
                <w:rFonts w:hint="eastAsia" w:ascii="宋体" w:hAnsi="宋体" w:eastAsia="宋体" w:cs="宋体"/>
                <w:b/>
                <w:bCs/>
                <w:i w:val="0"/>
                <w:iCs w:val="0"/>
                <w:color w:val="000000"/>
                <w:sz w:val="22"/>
                <w:szCs w:val="22"/>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D66C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品牌</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D9FAB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单价（元）</w:t>
            </w: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6EAC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品牌</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0C6EB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单价（元）</w:t>
            </w: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6335D6">
            <w:pPr>
              <w:jc w:val="center"/>
              <w:rPr>
                <w:rFonts w:hint="eastAsia" w:ascii="宋体" w:hAnsi="宋体" w:eastAsia="宋体" w:cs="宋体"/>
                <w:b/>
                <w:bCs/>
                <w:i w:val="0"/>
                <w:iCs w:val="0"/>
                <w:color w:val="000000"/>
                <w:sz w:val="22"/>
                <w:szCs w:val="22"/>
                <w:u w:val="none"/>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B62D30">
            <w:pPr>
              <w:jc w:val="center"/>
              <w:rPr>
                <w:rFonts w:hint="eastAsia" w:ascii="宋体" w:hAnsi="宋体" w:eastAsia="宋体" w:cs="宋体"/>
                <w:b/>
                <w:bCs/>
                <w:i w:val="0"/>
                <w:iCs w:val="0"/>
                <w:color w:val="000000"/>
                <w:sz w:val="22"/>
                <w:szCs w:val="22"/>
                <w:u w:val="none"/>
              </w:rPr>
            </w:pPr>
          </w:p>
        </w:tc>
      </w:tr>
      <w:tr w14:paraId="43DE1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C760362">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6F2B428">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100x50</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E8518C9">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352C27">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05E1858">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364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C9A5C66">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42B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BA4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BCEF9BC">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r>
      <w:tr w14:paraId="57636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0B7B197">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3F333DC">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100x100</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F8F4AD9">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B0A9230">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E1DEE60">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3BC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91FDCCB">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ED1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57D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B47BBD7">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r>
      <w:tr w14:paraId="04D70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EA5658D">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39FB28D">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150x100</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7CEFA0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7054B0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730CF6F">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461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CECA57A">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503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2BC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DA3FDA1">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r>
      <w:tr w14:paraId="22BD2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DA7E8E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FF8FD9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200x100</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439103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28FC163">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10A6E26">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F0A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3B40BC4">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8BB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9A2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B056142">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r>
      <w:tr w14:paraId="31F12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07C0272">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81DF55E">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200x150</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74EAA03">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0F8EA7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FB927C6">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990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940D0B1">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355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A14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102F2EA">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r>
      <w:tr w14:paraId="4FBA7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9913373">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BB0B9D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300x100</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6DE4C79">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2BAE995">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2BDCB52">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8B1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61BFCDD">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E91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CE4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BEE2DA5">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r>
      <w:tr w14:paraId="74FF0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D94B62">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0982F47">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300x150</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ECA303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7582549">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FF7BF72">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1E8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F0FFDCE">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7CE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10B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A5247D">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r>
      <w:tr w14:paraId="703D7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4979D2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6A8F63">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400x100</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EE4EC0C">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10DA66D">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439AC47">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E21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C967016">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76B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633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FAB5CCE">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r>
      <w:tr w14:paraId="5008A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81CED5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50CB4FE">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400x150</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1D2FCEE">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840C767">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C452A4">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8E0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B7348F9">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035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462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5DD2B99">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r>
      <w:tr w14:paraId="43347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FDB6522">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7BF6C85">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400x200</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C6ADF8">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0952143">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4FB804A">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37B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8F05D7A">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FC6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647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5EC9FBF">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r>
      <w:tr w14:paraId="23A67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15B5A9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9D578E6">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500x150</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ECEAB19">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74EA6F4">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2E80E87">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F31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B98C241">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1A4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42C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60630EB">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r>
      <w:tr w14:paraId="2E6C6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477B355">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B7D1744">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500x200</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3DAFC94">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CAE9488">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9750699">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CF7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D150A0D">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C8D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022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2E57C14">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r>
      <w:tr w14:paraId="79ED2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387BE0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C7DE716">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600x150</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343505E">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D38CC92">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DAE7016">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675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55C5D56">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70F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9A6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2DCE0CF">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r>
      <w:tr w14:paraId="32488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8B51866">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5524E50">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600x200</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1509699">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7876BCE">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A072050">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108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9B96943">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2B2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46F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FBEA525">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r>
      <w:tr w14:paraId="32D70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CC462AE">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7078EE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800x200</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96607FD">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D2E09E8">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3AE530B">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2B5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858CF08">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EE9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13F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F21EAB9">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p>
        </w:tc>
      </w:tr>
      <w:tr w14:paraId="316C6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02" w:type="pct"/>
            <w:gridSpan w:val="8"/>
            <w:tcBorders>
              <w:top w:val="single" w:color="000000" w:sz="4" w:space="0"/>
              <w:left w:val="single" w:color="000000" w:sz="4" w:space="0"/>
              <w:bottom w:val="single" w:color="000000" w:sz="4" w:space="0"/>
              <w:right w:val="single" w:color="000000" w:sz="4" w:space="0"/>
            </w:tcBorders>
            <w:shd w:val="clear" w:color="auto" w:fill="auto"/>
            <w:noWrap/>
            <w:vAlign w:val="bottom"/>
          </w:tcPr>
          <w:p w14:paraId="4375C7E5">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单价合计（元）</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BAA19D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2006FCC">
            <w:pPr>
              <w:jc w:val="center"/>
              <w:rPr>
                <w:rFonts w:hint="eastAsia" w:ascii="宋体" w:hAnsi="宋体" w:eastAsia="宋体" w:cs="宋体"/>
                <w:i w:val="0"/>
                <w:iCs w:val="0"/>
                <w:color w:val="000000"/>
                <w:sz w:val="22"/>
                <w:szCs w:val="22"/>
                <w:u w:val="none"/>
              </w:rPr>
            </w:pPr>
          </w:p>
        </w:tc>
      </w:tr>
      <w:tr w14:paraId="5A53E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5" w:hRule="atLeast"/>
        </w:trPr>
        <w:tc>
          <w:tcPr>
            <w:tcW w:w="5000" w:type="pct"/>
            <w:gridSpan w:val="10"/>
            <w:tcBorders>
              <w:top w:val="single" w:color="000000" w:sz="4" w:space="0"/>
              <w:left w:val="single" w:color="000000" w:sz="4" w:space="0"/>
              <w:bottom w:val="single" w:color="000000" w:sz="4" w:space="0"/>
              <w:right w:val="single" w:color="000000" w:sz="4" w:space="0"/>
            </w:tcBorders>
            <w:shd w:val="clear" w:color="auto" w:fill="auto"/>
            <w:vAlign w:val="bottom"/>
          </w:tcPr>
          <w:p w14:paraId="70F2D992">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注：所有电缆桥架、梯架、线槽内外侧全部采用喷塑，喷塑层应坚固、致密。灯具安装线槽钢板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（不含喷塑层）厚度1.5mm 以上；其它桥架钢板根据大小不同厚度应不低于1.5mm（包括盖板），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或不低于国家标准（取两者较大值）。屋面的电缆桥架均采用铝合金或不锈钢材质，铝合金桥架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（不含喷塑层）的厚度2mm 以上。产品必须通过国家3C 认证。</w:t>
            </w:r>
          </w:p>
        </w:tc>
      </w:tr>
    </w:tbl>
    <w:p w14:paraId="72B3162B">
      <w:pPr>
        <w:pageBreakBefore w:val="0"/>
        <w:kinsoku/>
        <w:wordWrap/>
        <w:overflowPunct/>
        <w:topLinePunct w:val="0"/>
        <w:autoSpaceDE/>
        <w:autoSpaceDN/>
        <w:bidi w:val="0"/>
        <w:adjustRightInd/>
        <w:spacing w:before="2" w:line="360" w:lineRule="auto"/>
        <w:textAlignment w:val="auto"/>
        <w:rPr>
          <w:rFonts w:hint="eastAsia" w:ascii="宋体" w:hAnsi="宋体" w:eastAsia="宋体" w:cs="宋体"/>
          <w:spacing w:val="0"/>
          <w:sz w:val="24"/>
          <w:szCs w:val="24"/>
        </w:rPr>
      </w:pPr>
    </w:p>
    <w:p w14:paraId="6F4471BD">
      <w:pPr>
        <w:pStyle w:val="2"/>
        <w:rPr>
          <w:rFonts w:hint="eastAsia" w:ascii="宋体" w:hAnsi="宋体" w:eastAsia="宋体" w:cs="宋体"/>
          <w:spacing w:val="0"/>
          <w:sz w:val="24"/>
          <w:szCs w:val="24"/>
        </w:rPr>
      </w:pPr>
    </w:p>
    <w:p w14:paraId="5174AA0F">
      <w:pPr>
        <w:pageBreakBefore w:val="0"/>
        <w:kinsoku/>
        <w:wordWrap/>
        <w:overflowPunct/>
        <w:topLinePunct w:val="0"/>
        <w:autoSpaceDE/>
        <w:autoSpaceDN/>
        <w:bidi w:val="0"/>
        <w:adjustRightInd/>
        <w:spacing w:line="360" w:lineRule="auto"/>
        <w:textAlignment w:val="auto"/>
        <w:rPr>
          <w:rFonts w:hint="eastAsia" w:ascii="宋体" w:hAnsi="宋体" w:eastAsia="宋体" w:cs="宋体"/>
          <w:sz w:val="24"/>
          <w:szCs w:val="24"/>
        </w:rPr>
      </w:pPr>
    </w:p>
    <w:p w14:paraId="0393EBBD">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sz w:val="24"/>
          <w:szCs w:val="24"/>
        </w:rPr>
      </w:pPr>
    </w:p>
    <w:p w14:paraId="1829BD51">
      <w:pPr>
        <w:pStyle w:val="4"/>
        <w:pageBreakBefore w:val="0"/>
        <w:kinsoku/>
        <w:wordWrap/>
        <w:overflowPunct/>
        <w:topLinePunct w:val="0"/>
        <w:autoSpaceDE/>
        <w:autoSpaceDN/>
        <w:bidi w:val="0"/>
        <w:adjustRightInd/>
        <w:snapToGrid w:val="0"/>
        <w:spacing w:before="0" w:after="0" w:line="360" w:lineRule="auto"/>
        <w:textAlignment w:val="auto"/>
        <w:rPr>
          <w:rFonts w:hint="eastAsia" w:ascii="宋体" w:hAnsi="宋体" w:eastAsia="宋体" w:cs="宋体"/>
          <w:color w:val="auto"/>
          <w:sz w:val="24"/>
          <w:szCs w:val="24"/>
          <w:lang w:val="en-US" w:eastAsia="zh-CN"/>
        </w:rPr>
        <w:sectPr>
          <w:pgSz w:w="11906" w:h="16840"/>
          <w:pgMar w:top="1587" w:right="1587" w:bottom="1587" w:left="1587" w:header="850" w:footer="992" w:gutter="0"/>
          <w:cols w:space="0" w:num="1"/>
          <w:rtlGutter w:val="0"/>
          <w:docGrid w:linePitch="0" w:charSpace="0"/>
        </w:sectPr>
      </w:pPr>
    </w:p>
    <w:p w14:paraId="50AFDD3F">
      <w:pPr>
        <w:pStyle w:val="4"/>
        <w:pageBreakBefore w:val="0"/>
        <w:kinsoku/>
        <w:wordWrap/>
        <w:overflowPunct/>
        <w:topLinePunct w:val="0"/>
        <w:autoSpaceDE/>
        <w:autoSpaceDN/>
        <w:bidi w:val="0"/>
        <w:adjustRightInd/>
        <w:snapToGrid w:val="0"/>
        <w:spacing w:before="0" w:after="0" w:line="360" w:lineRule="auto"/>
        <w:textAlignment w:val="auto"/>
        <w:rPr>
          <w:rFonts w:hint="eastAsia" w:ascii="宋体" w:hAnsi="宋体" w:eastAsia="宋体" w:cs="宋体"/>
          <w:color w:val="auto"/>
          <w:sz w:val="24"/>
          <w:szCs w:val="24"/>
          <w:lang w:val="en-US" w:eastAsia="zh-CN"/>
        </w:rPr>
      </w:pPr>
      <w:bookmarkStart w:id="2" w:name="_Toc2486"/>
      <w:r>
        <w:rPr>
          <w:rFonts w:hint="eastAsia" w:ascii="宋体" w:hAnsi="宋体" w:eastAsia="宋体" w:cs="宋体"/>
          <w:color w:val="auto"/>
          <w:sz w:val="24"/>
          <w:szCs w:val="24"/>
          <w:lang w:val="en-US" w:eastAsia="zh-CN"/>
        </w:rPr>
        <w:t>附件三、低压配电箱清单</w:t>
      </w:r>
      <w:bookmarkEnd w:id="2"/>
    </w:p>
    <w:tbl>
      <w:tblPr>
        <w:tblStyle w:val="10"/>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3"/>
        <w:gridCol w:w="957"/>
        <w:gridCol w:w="1016"/>
        <w:gridCol w:w="1804"/>
        <w:gridCol w:w="855"/>
        <w:gridCol w:w="855"/>
        <w:gridCol w:w="855"/>
        <w:gridCol w:w="996"/>
        <w:gridCol w:w="855"/>
        <w:gridCol w:w="1071"/>
        <w:gridCol w:w="1512"/>
        <w:gridCol w:w="1376"/>
        <w:gridCol w:w="1149"/>
      </w:tblGrid>
      <w:tr w14:paraId="2C003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D8076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39C5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36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61FA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规格</w:t>
            </w:r>
          </w:p>
        </w:tc>
        <w:tc>
          <w:tcPr>
            <w:tcW w:w="650" w:type="pct"/>
            <w:vMerge w:val="restart"/>
            <w:tcBorders>
              <w:top w:val="single" w:color="000000" w:sz="4" w:space="0"/>
              <w:left w:val="single" w:color="000000" w:sz="4" w:space="0"/>
              <w:bottom w:val="single" w:color="000000" w:sz="4" w:space="0"/>
              <w:right w:val="single" w:color="000000" w:sz="4" w:space="0"/>
            </w:tcBorders>
            <w:shd w:val="clear" w:color="auto" w:fill="auto"/>
            <w:vAlign w:val="bottom"/>
          </w:tcPr>
          <w:p w14:paraId="19DF9F26">
            <w:pPr>
              <w:keepNext w:val="0"/>
              <w:keepLines w:val="0"/>
              <w:widowControl/>
              <w:suppressLineNumbers w:val="0"/>
              <w:jc w:val="center"/>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外形参考尺寸</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（宽x 高x 深</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mm）</w:t>
            </w:r>
          </w:p>
        </w:tc>
        <w:tc>
          <w:tcPr>
            <w:tcW w:w="30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F87D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30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28E8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66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221BB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户内型</w:t>
            </w:r>
          </w:p>
        </w:tc>
        <w:tc>
          <w:tcPr>
            <w:tcW w:w="6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61C30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户外型</w:t>
            </w:r>
          </w:p>
        </w:tc>
        <w:tc>
          <w:tcPr>
            <w:tcW w:w="5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EC1EF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小计（元）</w:t>
            </w:r>
          </w:p>
        </w:tc>
        <w:tc>
          <w:tcPr>
            <w:tcW w:w="49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A1699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进线电缆</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规格</w:t>
            </w:r>
          </w:p>
        </w:tc>
        <w:tc>
          <w:tcPr>
            <w:tcW w:w="4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1958D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品牌</w:t>
            </w:r>
          </w:p>
        </w:tc>
      </w:tr>
      <w:tr w14:paraId="0263B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624413">
            <w:pPr>
              <w:jc w:val="center"/>
              <w:rPr>
                <w:rFonts w:hint="eastAsia" w:ascii="宋体" w:hAnsi="宋体" w:eastAsia="宋体" w:cs="宋体"/>
                <w:b/>
                <w:bCs/>
                <w:i w:val="0"/>
                <w:iCs w:val="0"/>
                <w:color w:val="000000"/>
                <w:sz w:val="22"/>
                <w:szCs w:val="22"/>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57616">
            <w:pPr>
              <w:jc w:val="center"/>
              <w:rPr>
                <w:rFonts w:hint="eastAsia" w:ascii="宋体" w:hAnsi="宋体" w:eastAsia="宋体" w:cs="宋体"/>
                <w:b/>
                <w:bCs/>
                <w:i w:val="0"/>
                <w:iCs w:val="0"/>
                <w:color w:val="000000"/>
                <w:sz w:val="22"/>
                <w:szCs w:val="22"/>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08E73">
            <w:pPr>
              <w:jc w:val="center"/>
              <w:rPr>
                <w:rFonts w:hint="eastAsia" w:ascii="宋体" w:hAnsi="宋体" w:eastAsia="宋体" w:cs="宋体"/>
                <w:b/>
                <w:bCs/>
                <w:i w:val="0"/>
                <w:iCs w:val="0"/>
                <w:color w:val="000000"/>
                <w:sz w:val="22"/>
                <w:szCs w:val="22"/>
                <w:u w:val="none"/>
              </w:rPr>
            </w:pPr>
          </w:p>
        </w:tc>
        <w:tc>
          <w:tcPr>
            <w:tcW w:w="650" w:type="pct"/>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14:paraId="5A308995">
            <w:pPr>
              <w:jc w:val="center"/>
              <w:rPr>
                <w:rFonts w:hint="eastAsia" w:ascii="宋体" w:hAnsi="宋体" w:eastAsia="宋体" w:cs="宋体"/>
                <w:b/>
                <w:bCs/>
                <w:i w:val="0"/>
                <w:iCs w:val="0"/>
                <w:color w:val="000000"/>
                <w:sz w:val="22"/>
                <w:szCs w:val="22"/>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D7A8A">
            <w:pPr>
              <w:jc w:val="center"/>
              <w:rPr>
                <w:rFonts w:hint="eastAsia" w:ascii="宋体" w:hAnsi="宋体" w:eastAsia="宋体" w:cs="宋体"/>
                <w:b/>
                <w:bCs/>
                <w:i w:val="0"/>
                <w:iCs w:val="0"/>
                <w:color w:val="000000"/>
                <w:sz w:val="22"/>
                <w:szCs w:val="22"/>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25ED2">
            <w:pPr>
              <w:jc w:val="center"/>
              <w:rPr>
                <w:rFonts w:hint="eastAsia" w:ascii="宋体" w:hAnsi="宋体" w:eastAsia="宋体" w:cs="宋体"/>
                <w:b/>
                <w:bCs/>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8170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品牌</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31E6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单价</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938B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品牌</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848C4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单价</w:t>
            </w:r>
          </w:p>
        </w:tc>
        <w:tc>
          <w:tcPr>
            <w:tcW w:w="5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76314D">
            <w:pPr>
              <w:jc w:val="center"/>
              <w:rPr>
                <w:rFonts w:hint="eastAsia" w:ascii="宋体" w:hAnsi="宋体" w:eastAsia="宋体" w:cs="宋体"/>
                <w:b/>
                <w:bCs/>
                <w:i w:val="0"/>
                <w:iCs w:val="0"/>
                <w:color w:val="000000"/>
                <w:sz w:val="22"/>
                <w:szCs w:val="22"/>
                <w:u w:val="none"/>
              </w:rPr>
            </w:pPr>
          </w:p>
        </w:tc>
        <w:tc>
          <w:tcPr>
            <w:tcW w:w="4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96CB25">
            <w:pPr>
              <w:jc w:val="center"/>
              <w:rPr>
                <w:rFonts w:hint="eastAsia" w:ascii="宋体" w:hAnsi="宋体" w:eastAsia="宋体" w:cs="宋体"/>
                <w:b/>
                <w:bCs/>
                <w:i w:val="0"/>
                <w:iCs w:val="0"/>
                <w:color w:val="000000"/>
                <w:sz w:val="22"/>
                <w:szCs w:val="22"/>
                <w:u w:val="none"/>
              </w:rPr>
            </w:pPr>
          </w:p>
        </w:tc>
        <w:tc>
          <w:tcPr>
            <w:tcW w:w="4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E24968">
            <w:pPr>
              <w:jc w:val="center"/>
              <w:rPr>
                <w:rFonts w:hint="eastAsia" w:ascii="宋体" w:hAnsi="宋体" w:eastAsia="宋体" w:cs="宋体"/>
                <w:b/>
                <w:bCs/>
                <w:i w:val="0"/>
                <w:iCs w:val="0"/>
                <w:color w:val="000000"/>
                <w:sz w:val="22"/>
                <w:szCs w:val="22"/>
                <w:u w:val="none"/>
              </w:rPr>
            </w:pPr>
          </w:p>
        </w:tc>
      </w:tr>
      <w:tr w14:paraId="78703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7C020BC">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020C07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电箱</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8C30F3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800A（出线4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路400A）</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277260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900x900x280</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6596BED">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38FB9F6">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F03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C00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F62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3C3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FE4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182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2x(4x240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+1x120)</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F50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3F4F3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078EB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E12E3B7">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电箱</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FB77F93">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630A（出线4路315A）</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58F7058">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800x800x200</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C1CD0C3">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08CFFFC">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23D4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795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444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232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E2D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0E6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2x(4x185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+1x95）</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6E7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545E2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DC62042">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4A02F80">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电箱</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523CF74">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400A（出线4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路250A）</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68C51CE">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700x800x200</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98571B9">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D49656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5D3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23D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B6E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A38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AC2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CBE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4x240+1x</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120</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5667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A840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BB9236D">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18B3E36">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电箱</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5A298F8">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315A（出线4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路160A）</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F801A92">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700x800x200</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D30E1A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C092F03">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17E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033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5A1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019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FBD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876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4x185+1x</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95</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744F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1DAD5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B33D786">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8E57589">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电箱</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0BFCAD0">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250A（出线4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路125A）</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FBE1B2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600x800x200</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D91BD47">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E7FE0CC">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B0F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FEF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D207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50A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BF5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189E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4x150+1x</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70</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734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2DFE4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70FD324">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3F03AC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电箱</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8B731A4">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225A（出线4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路100A）</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9D286C8">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600x800x200</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8362C72">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2D54E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F40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795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862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FB3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227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071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4x120+1x</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70</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5EC3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5BFAE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E91419">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F21284E">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电箱</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7445314">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180A（出线4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路100A）</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13E2E4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600x800x200</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6439A4E">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A1CC697">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154F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3C3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4B5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882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36F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437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4x95+1x5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0</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BF1C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40297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E4E3765">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F163102">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电箱</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2DC8813">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160A（出线4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路80A）</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3671D83">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500x600x180</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C5309C7">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6A9718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6FE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A7F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B464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253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DE9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B9B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4x70+1x3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EB3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1E437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300B58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A25B7D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电箱</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D5F8FD2">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125A（出线4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路63A）</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E6F8793">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500x600x180</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41C864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71CA8B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A58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117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D07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150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29B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E76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4x50+1x2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E305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10796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770E0A6">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5D344C2">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电箱</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C2FD75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100A（出线4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路50A）</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2E1199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500x600x180</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D8F590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82C84D8">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54C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0DB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DCD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816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787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D165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4x35+1x1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40ED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22CB5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A0581F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822E26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电箱</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8C75BBE">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63A（出线4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路40A）</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B164B0E">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300x400x120</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9B4E1F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C697A3E">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4B7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20B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498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16B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2B4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2962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4x25+1x1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46C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D5A5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D109F16">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0801E9D">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电箱</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24BE25C">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50A（出线4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路25A）</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40ABFE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300x400x120</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C3A0E1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818FF0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02F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1AF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33A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751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849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5494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4x16+1x1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0</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6AFA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722B4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0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C4297C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7A49D85">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电箱</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2580E0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40A（出线4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路16A）</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C58F67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300x400x120</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2B087C7">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89BE0A7">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B2A2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6B0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2F23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74F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7CF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p>
        </w:tc>
        <w:tc>
          <w:tcPr>
            <w:tcW w:w="4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123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5x10</w:t>
            </w:r>
          </w:p>
        </w:tc>
        <w:tc>
          <w:tcPr>
            <w:tcW w:w="4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A26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r w14:paraId="32E54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44" w:type="pct"/>
            <w:gridSpan w:val="10"/>
            <w:tcBorders>
              <w:top w:val="single" w:color="000000" w:sz="4" w:space="0"/>
              <w:left w:val="single" w:color="000000" w:sz="4" w:space="0"/>
              <w:bottom w:val="single" w:color="000000" w:sz="4" w:space="0"/>
              <w:right w:val="single" w:color="000000" w:sz="4" w:space="0"/>
            </w:tcBorders>
            <w:shd w:val="clear" w:color="auto" w:fill="auto"/>
            <w:noWrap/>
            <w:vAlign w:val="bottom"/>
          </w:tcPr>
          <w:p w14:paraId="36360CB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单价合计（元）</w:t>
            </w: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44F7EF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251148</w:t>
            </w:r>
          </w:p>
        </w:tc>
        <w:tc>
          <w:tcPr>
            <w:tcW w:w="49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7461E0A">
            <w:pPr>
              <w:jc w:val="center"/>
              <w:rPr>
                <w:rFonts w:hint="eastAsia" w:ascii="宋体" w:hAnsi="宋体" w:eastAsia="宋体" w:cs="宋体"/>
                <w:i w:val="0"/>
                <w:iCs w:val="0"/>
                <w:color w:val="000000"/>
                <w:sz w:val="22"/>
                <w:szCs w:val="22"/>
                <w:u w:val="none"/>
              </w:rPr>
            </w:pP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03C5E9E">
            <w:pPr>
              <w:jc w:val="center"/>
              <w:rPr>
                <w:rFonts w:hint="eastAsia" w:ascii="宋体" w:hAnsi="宋体" w:eastAsia="宋体" w:cs="宋体"/>
                <w:i w:val="0"/>
                <w:iCs w:val="0"/>
                <w:color w:val="000000"/>
                <w:sz w:val="22"/>
                <w:szCs w:val="22"/>
                <w:u w:val="none"/>
              </w:rPr>
            </w:pPr>
          </w:p>
        </w:tc>
      </w:tr>
      <w:tr w14:paraId="40936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5000" w:type="pct"/>
            <w:gridSpan w:val="13"/>
            <w:tcBorders>
              <w:top w:val="single" w:color="000000" w:sz="4" w:space="0"/>
              <w:left w:val="single" w:color="000000" w:sz="4" w:space="0"/>
              <w:bottom w:val="single" w:color="000000" w:sz="4" w:space="0"/>
              <w:right w:val="single" w:color="000000" w:sz="4" w:space="0"/>
            </w:tcBorders>
            <w:shd w:val="clear" w:color="auto" w:fill="auto"/>
            <w:vAlign w:val="bottom"/>
          </w:tcPr>
          <w:p w14:paraId="4A92148D">
            <w:pPr>
              <w:keepNext w:val="0"/>
              <w:keepLines w:val="0"/>
              <w:widowControl/>
              <w:suppressLineNumbers w:val="0"/>
              <w:jc w:val="lef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注：动力配电柜、动力配电箱、照明配电箱: 柜体产品采用2.0mm 厚电解钢板，表面要经过环氧树脂静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电喷涂处理；动力配电柜、动力配电箱、照明配电箱:需要预留位置及安装备用空开。</w:t>
            </w:r>
          </w:p>
        </w:tc>
      </w:tr>
    </w:tbl>
    <w:p w14:paraId="5C49FDEE">
      <w:pPr>
        <w:pageBreakBefore w:val="0"/>
        <w:kinsoku/>
        <w:wordWrap/>
        <w:overflowPunct/>
        <w:topLinePunct w:val="0"/>
        <w:autoSpaceDE/>
        <w:autoSpaceDN/>
        <w:bidi w:val="0"/>
        <w:adjustRightInd/>
        <w:spacing w:before="1" w:line="360" w:lineRule="auto"/>
        <w:textAlignment w:val="auto"/>
        <w:rPr>
          <w:rFonts w:hint="eastAsia" w:ascii="宋体" w:hAnsi="宋体" w:eastAsia="宋体" w:cs="宋体"/>
          <w:spacing w:val="0"/>
          <w:sz w:val="24"/>
          <w:szCs w:val="24"/>
        </w:rPr>
        <w:sectPr>
          <w:pgSz w:w="16840" w:h="11906" w:orient="landscape"/>
          <w:pgMar w:top="1587" w:right="1587" w:bottom="1587" w:left="1587" w:header="850" w:footer="992" w:gutter="0"/>
          <w:cols w:space="0" w:num="1"/>
          <w:rtlGutter w:val="0"/>
          <w:docGrid w:linePitch="0" w:charSpace="0"/>
        </w:sectPr>
      </w:pPr>
    </w:p>
    <w:p w14:paraId="79DC07EE">
      <w:pPr>
        <w:pStyle w:val="4"/>
        <w:pageBreakBefore w:val="0"/>
        <w:kinsoku/>
        <w:wordWrap/>
        <w:overflowPunct/>
        <w:topLinePunct w:val="0"/>
        <w:autoSpaceDE/>
        <w:autoSpaceDN/>
        <w:bidi w:val="0"/>
        <w:adjustRightInd/>
        <w:snapToGrid w:val="0"/>
        <w:spacing w:before="0" w:after="0" w:line="360" w:lineRule="auto"/>
        <w:textAlignment w:val="auto"/>
        <w:rPr>
          <w:rFonts w:hint="eastAsia" w:ascii="宋体" w:hAnsi="宋体" w:eastAsia="宋体" w:cs="宋体"/>
          <w:color w:val="auto"/>
          <w:sz w:val="24"/>
          <w:szCs w:val="24"/>
          <w:lang w:val="en-US" w:eastAsia="zh-CN"/>
        </w:rPr>
      </w:pPr>
      <w:bookmarkStart w:id="3" w:name="_bookmark28"/>
      <w:bookmarkEnd w:id="3"/>
      <w:bookmarkStart w:id="4" w:name="附件5承诺书"/>
      <w:bookmarkEnd w:id="4"/>
      <w:bookmarkStart w:id="5" w:name="_Toc9171"/>
      <w:r>
        <w:rPr>
          <w:rFonts w:hint="eastAsia" w:ascii="宋体" w:hAnsi="宋体" w:eastAsia="宋体" w:cs="宋体"/>
          <w:color w:val="auto"/>
          <w:sz w:val="24"/>
          <w:szCs w:val="24"/>
          <w:lang w:val="en-US" w:eastAsia="zh-CN"/>
        </w:rPr>
        <w:t>附件四、配电室主要元器件清单</w:t>
      </w:r>
      <w:bookmarkEnd w:id="5"/>
    </w:p>
    <w:tbl>
      <w:tblPr>
        <w:tblStyle w:val="10"/>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56"/>
        <w:gridCol w:w="2007"/>
        <w:gridCol w:w="3449"/>
        <w:gridCol w:w="678"/>
        <w:gridCol w:w="1379"/>
        <w:gridCol w:w="1212"/>
      </w:tblGrid>
      <w:tr w14:paraId="32549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00" w:type="pct"/>
            <w:tcBorders>
              <w:top w:val="single" w:color="000000" w:sz="4" w:space="0"/>
              <w:left w:val="single" w:color="000000" w:sz="4" w:space="0"/>
              <w:bottom w:val="nil"/>
              <w:right w:val="single" w:color="000000" w:sz="4" w:space="0"/>
            </w:tcBorders>
            <w:shd w:val="clear" w:color="auto" w:fill="auto"/>
            <w:vAlign w:val="center"/>
          </w:tcPr>
          <w:p w14:paraId="75CE8A7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081" w:type="pct"/>
            <w:tcBorders>
              <w:top w:val="single" w:color="000000" w:sz="4" w:space="0"/>
              <w:left w:val="single" w:color="000000" w:sz="4" w:space="0"/>
              <w:bottom w:val="nil"/>
              <w:right w:val="single" w:color="000000" w:sz="4" w:space="0"/>
            </w:tcBorders>
            <w:shd w:val="clear" w:color="auto" w:fill="auto"/>
            <w:noWrap/>
            <w:vAlign w:val="center"/>
          </w:tcPr>
          <w:p w14:paraId="3D13745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1858" w:type="pct"/>
            <w:tcBorders>
              <w:top w:val="single" w:color="000000" w:sz="4" w:space="0"/>
              <w:left w:val="single" w:color="000000" w:sz="4" w:space="0"/>
              <w:bottom w:val="nil"/>
              <w:right w:val="single" w:color="000000" w:sz="4" w:space="0"/>
            </w:tcBorders>
            <w:shd w:val="clear" w:color="auto" w:fill="auto"/>
            <w:noWrap/>
            <w:vAlign w:val="center"/>
          </w:tcPr>
          <w:p w14:paraId="6F272C4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规格</w:t>
            </w:r>
          </w:p>
        </w:tc>
        <w:tc>
          <w:tcPr>
            <w:tcW w:w="365" w:type="pct"/>
            <w:tcBorders>
              <w:top w:val="single" w:color="000000" w:sz="4" w:space="0"/>
              <w:left w:val="single" w:color="000000" w:sz="4" w:space="0"/>
              <w:bottom w:val="nil"/>
              <w:right w:val="single" w:color="000000" w:sz="4" w:space="0"/>
            </w:tcBorders>
            <w:shd w:val="clear" w:color="auto" w:fill="auto"/>
            <w:vAlign w:val="center"/>
          </w:tcPr>
          <w:p w14:paraId="1D55A3D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741" w:type="pct"/>
            <w:tcBorders>
              <w:top w:val="single" w:color="000000" w:sz="4" w:space="0"/>
              <w:left w:val="single" w:color="000000" w:sz="4" w:space="0"/>
              <w:bottom w:val="nil"/>
              <w:right w:val="single" w:color="000000" w:sz="4" w:space="0"/>
            </w:tcBorders>
            <w:shd w:val="clear" w:color="auto" w:fill="auto"/>
            <w:vAlign w:val="center"/>
          </w:tcPr>
          <w:p w14:paraId="44DB770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品牌</w:t>
            </w:r>
          </w:p>
        </w:tc>
        <w:tc>
          <w:tcPr>
            <w:tcW w:w="652" w:type="pct"/>
            <w:tcBorders>
              <w:top w:val="single" w:color="000000" w:sz="4" w:space="0"/>
              <w:left w:val="single" w:color="000000" w:sz="4" w:space="0"/>
              <w:bottom w:val="nil"/>
              <w:right w:val="single" w:color="000000" w:sz="4" w:space="0"/>
            </w:tcBorders>
            <w:shd w:val="clear" w:color="auto" w:fill="auto"/>
            <w:vAlign w:val="center"/>
          </w:tcPr>
          <w:p w14:paraId="20A4246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单价</w:t>
            </w:r>
          </w:p>
        </w:tc>
      </w:tr>
      <w:tr w14:paraId="61BD2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53905B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低压部分</w:t>
            </w:r>
          </w:p>
        </w:tc>
      </w:tr>
      <w:tr w14:paraId="09D76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325B3B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FDDF27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智能框架断路器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5E69FD0">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额定电流400A-630A 3P 抽出式</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1A55D86">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B4C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7EF6BC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p>
        </w:tc>
      </w:tr>
      <w:tr w14:paraId="5C20A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4EB9476">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053A7B7">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智能框架断路器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F0172C5">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额定电流800A-1000A 3P 抽出式</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DC49356">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6A8E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0799745">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p>
        </w:tc>
      </w:tr>
      <w:tr w14:paraId="19611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2E6CC89">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412CD3D">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智能框架断路器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DC80A8C">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额定电流1250-1600A 3P 抽出式</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981A70C">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12E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E8F44BD">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p>
        </w:tc>
      </w:tr>
      <w:tr w14:paraId="254F0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38ADB77">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92B28F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智能框架断路器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ABC6643">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额定电流2000A 3P 抽出式</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2666B0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8E9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18362B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p>
        </w:tc>
      </w:tr>
      <w:tr w14:paraId="77955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EACE91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1104656">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塑壳断路器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3FB7204">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额定电流0-160A 3P</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672AE9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356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D3F30E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p>
        </w:tc>
      </w:tr>
      <w:tr w14:paraId="3C0FE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4B05900">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95AFDFC">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塑壳断路器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17042CC">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额定电流200-250A 3P</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FA3492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F34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2490503">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p>
        </w:tc>
      </w:tr>
      <w:tr w14:paraId="2E752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FB1C92D">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859258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塑壳断路器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9D6732C">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额定电流320-400A 3P</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230CF74">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756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C6688C8">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p>
        </w:tc>
      </w:tr>
      <w:tr w14:paraId="1131E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CF79526">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AF06D1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塑壳断路器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E83A34E">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额定电流630 及以内3P</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2DC6FE9">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CA7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5674BD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p>
        </w:tc>
      </w:tr>
      <w:tr w14:paraId="70AF4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1BEDA24">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A67517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电流互感</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BAB1638">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CHL-0.66</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1138FE8">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861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03770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p>
        </w:tc>
      </w:tr>
      <w:tr w14:paraId="0489F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C8B0E4C">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774F8B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多功能仪表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F9C2B48">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OVE300</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645E43E">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6B8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9724B5C">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p>
        </w:tc>
      </w:tr>
      <w:tr w14:paraId="3F5F1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753510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285AFF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电容柜控制器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C6157C6">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PQM</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D85C132">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1333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D9A9D8">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p>
        </w:tc>
      </w:tr>
      <w:tr w14:paraId="16809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0177B7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668ED06">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电容器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8F2A349">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BKMJ0.45-30-3</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5B19EBD">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135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2F47096">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p>
        </w:tc>
      </w:tr>
      <w:tr w14:paraId="417E4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B321BA9">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6BB6CB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接触器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80A3229">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SC-E3PK N5 10-C</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5EF8EF4">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13F5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B636258">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p>
        </w:tc>
      </w:tr>
      <w:tr w14:paraId="5F7C3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E67F0B8">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D94A5A9">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继电器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DD7F0B2">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CJR3B-65004</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8D6D305">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5FB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CDC5C86">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p>
        </w:tc>
      </w:tr>
      <w:tr w14:paraId="13E0D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AC62870">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4532AE2">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复合开关</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A54EE1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JX-TSC-380-30-3（无触点开关）</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37AD3B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854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7164E54">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p>
        </w:tc>
      </w:tr>
      <w:tr w14:paraId="16C94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1CA4A09">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586688D">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刀熔开关</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46BD50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NDGR2-630A 3P 柜外操作H 型手柄HZ1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（L）</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E67BD1C">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AFD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F608B80">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p>
        </w:tc>
      </w:tr>
      <w:tr w14:paraId="3CBF3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497134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高压部分</w:t>
            </w:r>
          </w:p>
        </w:tc>
      </w:tr>
      <w:tr w14:paraId="45C05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E4E4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C140A23">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真空断路器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B980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额定电流630A/31.5KA 手车式</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CD28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264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B5D3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6E638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180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1D91F37">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真空断路器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152A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额定电流1250A/31.5KA 手车式</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A8C9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F75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16D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0B10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F21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D9DD4D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电流互感器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60D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LZZBJ9-10</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4BF1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262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B8A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2E1BA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A6DD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E81F287">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零序电流互感器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979E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LXZK</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0F0B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1E2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0C2A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28DB5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0CC0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0A187BF9">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带电显示器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F16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DXN-10</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D7E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3F0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3A84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9736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B0B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1E3AF9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电缆故障指示器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EBA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EKL</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193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D1E8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3CD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0A8A2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F0A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DC001B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开关状态显示器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B068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YH-KCQ</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6D95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696A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C8D6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5D6D7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D90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64FD96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多功能仪表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1A0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OVE300</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313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FD5A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611C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3D7C8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EF8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D01941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智能电表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44BC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DSZY331</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596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CC0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593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64BBD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D80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53C4328A">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微机保护装置</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2D1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OVE5800</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5ED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B742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DD0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13C67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1BF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4B18A63B">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避雷器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8E9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HY5WZ-17/45</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248C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E349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2FD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672E3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585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223FD447">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温湿度控制仪</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F84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AB-WSK-H（TH）</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E837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86D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BC6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2B69A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85CE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4EBD522">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转换开关</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97FB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LW12</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F80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D5A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512D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40A22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633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63B27F1C">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直流空开</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7B3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CH3Z-63/2P C10</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122E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06EF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F8C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3AD8B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C43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bottom"/>
          </w:tcPr>
          <w:p w14:paraId="10572F6F">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熔断器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90AD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XRNP-10 0.5A</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1564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A2C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E911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2C56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A4E76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绝缘工器具</w:t>
            </w:r>
          </w:p>
        </w:tc>
      </w:tr>
      <w:tr w14:paraId="0A44E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578A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1D0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绝缘胶垫</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6F01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厚6-8mm</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07AE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1米</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B562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94F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1B9A8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877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73F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绝缘靴</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DD0DD">
            <w:pPr>
              <w:jc w:val="center"/>
              <w:rPr>
                <w:rFonts w:hint="eastAsia" w:ascii="宋体" w:hAnsi="宋体" w:eastAsia="宋体" w:cs="宋体"/>
                <w:i w:val="0"/>
                <w:iCs w:val="0"/>
                <w:color w:val="000000"/>
                <w:sz w:val="22"/>
                <w:szCs w:val="22"/>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0C56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1双</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F42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9683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39A12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C74E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4EF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绝缘手套</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AA9F1">
            <w:pPr>
              <w:jc w:val="center"/>
              <w:rPr>
                <w:rFonts w:hint="eastAsia" w:ascii="宋体" w:hAnsi="宋体" w:eastAsia="宋体" w:cs="宋体"/>
                <w:i w:val="0"/>
                <w:iCs w:val="0"/>
                <w:color w:val="000000"/>
                <w:sz w:val="22"/>
                <w:szCs w:val="22"/>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B15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1双</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822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A6E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37933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F2E6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CB3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高压验电笔</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512A1">
            <w:pPr>
              <w:jc w:val="center"/>
              <w:rPr>
                <w:rFonts w:hint="eastAsia" w:ascii="宋体" w:hAnsi="宋体" w:eastAsia="宋体" w:cs="宋体"/>
                <w:i w:val="0"/>
                <w:iCs w:val="0"/>
                <w:color w:val="000000"/>
                <w:sz w:val="22"/>
                <w:szCs w:val="22"/>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E5A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1支</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D662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D99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4A8A5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58DE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0F4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灭火器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EFBA1">
            <w:pPr>
              <w:jc w:val="center"/>
              <w:rPr>
                <w:rFonts w:hint="eastAsia" w:ascii="宋体" w:hAnsi="宋体" w:eastAsia="宋体" w:cs="宋体"/>
                <w:i w:val="0"/>
                <w:iCs w:val="0"/>
                <w:color w:val="000000"/>
                <w:sz w:val="22"/>
                <w:szCs w:val="22"/>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A38F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1支</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8FA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59F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11AD3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ED53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CC1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安全帽</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29CC25">
            <w:pPr>
              <w:jc w:val="center"/>
              <w:rPr>
                <w:rFonts w:hint="eastAsia" w:ascii="宋体" w:hAnsi="宋体" w:eastAsia="宋体" w:cs="宋体"/>
                <w:i w:val="0"/>
                <w:iCs w:val="0"/>
                <w:color w:val="000000"/>
                <w:sz w:val="22"/>
                <w:szCs w:val="22"/>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EA3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1个</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661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12C8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1A4FA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3F0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5B7C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安全遮拦</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A8947">
            <w:pPr>
              <w:jc w:val="center"/>
              <w:rPr>
                <w:rFonts w:hint="eastAsia" w:ascii="宋体" w:hAnsi="宋体" w:eastAsia="宋体" w:cs="宋体"/>
                <w:i w:val="0"/>
                <w:iCs w:val="0"/>
                <w:color w:val="000000"/>
                <w:sz w:val="22"/>
                <w:szCs w:val="22"/>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5B1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1套</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CC3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3B3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58CF2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FA1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8F7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防鼠挡板</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36B9A">
            <w:pPr>
              <w:jc w:val="center"/>
              <w:rPr>
                <w:rFonts w:hint="eastAsia" w:ascii="宋体" w:hAnsi="宋体" w:eastAsia="宋体" w:cs="宋体"/>
                <w:i w:val="0"/>
                <w:iCs w:val="0"/>
                <w:color w:val="000000"/>
                <w:sz w:val="22"/>
                <w:szCs w:val="22"/>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5943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1个</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EB6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067D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6C581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29F3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D38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高压接地棒</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18D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10KV</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3EF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1套</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2B4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CB7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1BED7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C9C9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DA3B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红外温度测试仪</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962A9">
            <w:pPr>
              <w:jc w:val="center"/>
              <w:rPr>
                <w:rFonts w:hint="eastAsia" w:ascii="宋体" w:hAnsi="宋体" w:eastAsia="宋体" w:cs="宋体"/>
                <w:i w:val="0"/>
                <w:iCs w:val="0"/>
                <w:color w:val="000000"/>
                <w:sz w:val="22"/>
                <w:szCs w:val="22"/>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34D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1个</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A9D1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9728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34C8B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FCF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7CC8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万用表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36E29">
            <w:pPr>
              <w:jc w:val="center"/>
              <w:rPr>
                <w:rFonts w:hint="eastAsia" w:ascii="宋体" w:hAnsi="宋体" w:eastAsia="宋体" w:cs="宋体"/>
                <w:i w:val="0"/>
                <w:iCs w:val="0"/>
                <w:color w:val="000000"/>
                <w:sz w:val="22"/>
                <w:szCs w:val="22"/>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A161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1个</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32C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A48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4B357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6EE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38A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钳形电流表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C5D85">
            <w:pPr>
              <w:jc w:val="center"/>
              <w:rPr>
                <w:rFonts w:hint="eastAsia" w:ascii="宋体" w:hAnsi="宋体" w:eastAsia="宋体" w:cs="宋体"/>
                <w:i w:val="0"/>
                <w:iCs w:val="0"/>
                <w:color w:val="000000"/>
                <w:sz w:val="22"/>
                <w:szCs w:val="22"/>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F51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1个</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023E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5CB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0157C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1C7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6C6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绝缘电阻表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B0B32">
            <w:pPr>
              <w:jc w:val="center"/>
              <w:rPr>
                <w:rFonts w:hint="eastAsia" w:ascii="宋体" w:hAnsi="宋体" w:eastAsia="宋体" w:cs="宋体"/>
                <w:i w:val="0"/>
                <w:iCs w:val="0"/>
                <w:color w:val="000000"/>
                <w:sz w:val="22"/>
                <w:szCs w:val="22"/>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6658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1个</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69B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EF4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4EF51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615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974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机械摇表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AC7BB">
            <w:pPr>
              <w:jc w:val="center"/>
              <w:rPr>
                <w:rFonts w:hint="eastAsia" w:ascii="宋体" w:hAnsi="宋体" w:eastAsia="宋体" w:cs="宋体"/>
                <w:i w:val="0"/>
                <w:iCs w:val="0"/>
                <w:color w:val="000000"/>
                <w:sz w:val="22"/>
                <w:szCs w:val="22"/>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9575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1个</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C7E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EFF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6C517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1C6E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A00C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电子摇表</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2BE03D">
            <w:pPr>
              <w:jc w:val="center"/>
              <w:rPr>
                <w:rFonts w:hint="eastAsia" w:ascii="宋体" w:hAnsi="宋体" w:eastAsia="宋体" w:cs="宋体"/>
                <w:i w:val="0"/>
                <w:iCs w:val="0"/>
                <w:color w:val="000000"/>
                <w:sz w:val="22"/>
                <w:szCs w:val="22"/>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B2FC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1个</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AE6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1F1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0F614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9D9A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ABD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工器具柜</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D72DD5">
            <w:pPr>
              <w:jc w:val="center"/>
              <w:rPr>
                <w:rFonts w:hint="eastAsia" w:ascii="宋体" w:hAnsi="宋体" w:eastAsia="宋体" w:cs="宋体"/>
                <w:i w:val="0"/>
                <w:iCs w:val="0"/>
                <w:color w:val="000000"/>
                <w:sz w:val="22"/>
                <w:szCs w:val="22"/>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444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1台</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1DD4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F83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301AA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4347" w:type="pct"/>
            <w:gridSpan w:val="5"/>
            <w:tcBorders>
              <w:top w:val="single" w:color="000000" w:sz="4" w:space="0"/>
              <w:left w:val="single" w:color="000000" w:sz="4" w:space="0"/>
              <w:bottom w:val="single" w:color="000000" w:sz="4" w:space="0"/>
              <w:right w:val="single" w:color="000000" w:sz="4" w:space="0"/>
            </w:tcBorders>
            <w:shd w:val="clear" w:color="auto" w:fill="auto"/>
            <w:noWrap/>
            <w:vAlign w:val="bottom"/>
          </w:tcPr>
          <w:p w14:paraId="1337F6ED">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单价合计（元）</w:t>
            </w: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2805BE5">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p>
        </w:tc>
      </w:tr>
    </w:tbl>
    <w:p w14:paraId="5343F66D"/>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C3B45A">
    <w:pPr>
      <w:pStyle w:val="7"/>
      <w:jc w:val="center"/>
      <w:rPr>
        <w:rFonts w:hint="eastAsia" w:ascii="宋体" w:hAnsi="宋体" w:eastAsia="宋体" w:cs="宋体"/>
        <w:sz w:val="20"/>
        <w:szCs w:val="20"/>
      </w:rPr>
    </w:pPr>
    <w:r>
      <w:rPr>
        <w:rFonts w:hint="eastAsia" w:ascii="宋体" w:hAnsi="宋体" w:eastAsia="宋体" w:cs="宋体"/>
        <w:b w:val="0"/>
        <w:bCs/>
      </w:rPr>
      <w:ptab w:relativeTo="margin" w:alignment="center" w:leader="none"/>
    </w:r>
    <w:r>
      <w:rPr>
        <w:rFonts w:hint="eastAsia" w:ascii="宋体" w:hAnsi="宋体" w:eastAsia="宋体" w:cs="宋体"/>
        <w:b w:val="0"/>
        <w:bCs/>
      </w:rPr>
      <w:t>第</w:t>
    </w:r>
    <w:r>
      <w:rPr>
        <w:rFonts w:hint="eastAsia" w:ascii="宋体" w:hAnsi="宋体" w:eastAsia="宋体" w:cs="宋体"/>
        <w:b w:val="0"/>
        <w:bCs/>
      </w:rPr>
      <w:fldChar w:fldCharType="begin"/>
    </w:r>
    <w:r>
      <w:rPr>
        <w:rFonts w:hint="eastAsia" w:ascii="宋体" w:hAnsi="宋体" w:eastAsia="宋体" w:cs="宋体"/>
        <w:b w:val="0"/>
        <w:bCs/>
      </w:rPr>
      <w:instrText xml:space="preserve"> PAGE   \* MERGEFORMAT </w:instrText>
    </w:r>
    <w:r>
      <w:rPr>
        <w:rFonts w:hint="eastAsia" w:ascii="宋体" w:hAnsi="宋体" w:eastAsia="宋体" w:cs="宋体"/>
        <w:b w:val="0"/>
        <w:bCs/>
      </w:rPr>
      <w:fldChar w:fldCharType="separate"/>
    </w:r>
    <w:r>
      <w:rPr>
        <w:rFonts w:hint="eastAsia" w:ascii="宋体" w:hAnsi="宋体" w:eastAsia="宋体" w:cs="宋体"/>
        <w:b w:val="0"/>
        <w:bCs/>
        <w:lang w:val="zh-CN"/>
      </w:rPr>
      <w:t>1</w:t>
    </w:r>
    <w:r>
      <w:rPr>
        <w:rFonts w:hint="eastAsia" w:ascii="宋体" w:hAnsi="宋体" w:eastAsia="宋体" w:cs="宋体"/>
        <w:b w:val="0"/>
        <w:bCs/>
      </w:rPr>
      <w:fldChar w:fldCharType="end"/>
    </w:r>
    <w:r>
      <w:rPr>
        <w:rFonts w:hint="eastAsia" w:ascii="宋体" w:hAnsi="宋体" w:eastAsia="宋体" w:cs="宋体"/>
        <w:b w:val="0"/>
        <w:bCs/>
      </w:rPr>
      <w:t>页</w:t>
    </w:r>
    <w:r>
      <w:rPr>
        <w:rFonts w:hint="eastAsia" w:ascii="宋体" w:hAnsi="宋体" w:eastAsia="宋体" w:cs="宋体"/>
        <w:b w:val="0"/>
        <w:bCs/>
      </w:rPr>
      <w:ptab w:relativeTo="margin" w:alignment="right" w:leader="none"/>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YmI2ZjZiODkzY2I2NmI2MTQ4MmVmOTI3NmZhZDcifQ=="/>
  </w:docVars>
  <w:rsids>
    <w:rsidRoot w:val="0D962EB0"/>
    <w:rsid w:val="03C72930"/>
    <w:rsid w:val="0D962EB0"/>
    <w:rsid w:val="0FE443F8"/>
    <w:rsid w:val="244C28AD"/>
    <w:rsid w:val="25A76A75"/>
    <w:rsid w:val="25B52667"/>
    <w:rsid w:val="3A706705"/>
    <w:rsid w:val="3E13670D"/>
    <w:rsid w:val="3EB43064"/>
    <w:rsid w:val="434D462D"/>
    <w:rsid w:val="516D031B"/>
    <w:rsid w:val="54F2623D"/>
    <w:rsid w:val="5AF01470"/>
    <w:rsid w:val="5D861C18"/>
    <w:rsid w:val="60E455D3"/>
    <w:rsid w:val="634C56B2"/>
    <w:rsid w:val="6D2A0812"/>
    <w:rsid w:val="6F0F5F11"/>
    <w:rsid w:val="78AF42C1"/>
    <w:rsid w:val="78C002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3"/>
    <w:basedOn w:val="1"/>
    <w:next w:val="1"/>
    <w:qFormat/>
    <w:uiPriority w:val="0"/>
    <w:pPr>
      <w:keepNext/>
      <w:widowControl/>
      <w:spacing w:before="240" w:after="60"/>
      <w:jc w:val="left"/>
      <w:outlineLvl w:val="2"/>
    </w:pPr>
    <w:rPr>
      <w:rFonts w:ascii="Arial" w:hAnsi="Arial" w:eastAsia="华文宋体" w:cs="Arial"/>
      <w:b/>
      <w:bCs/>
      <w:kern w:val="0"/>
      <w:sz w:val="26"/>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3"/>
    <w:unhideWhenUsed/>
    <w:qFormat/>
    <w:uiPriority w:val="99"/>
    <w:pPr>
      <w:ind w:firstLine="420" w:firstLineChars="100"/>
    </w:pPr>
    <w:rPr>
      <w:szCs w:val="24"/>
    </w:rPr>
  </w:style>
  <w:style w:type="paragraph" w:styleId="3">
    <w:name w:val="Body Text"/>
    <w:basedOn w:val="1"/>
    <w:next w:val="1"/>
    <w:qFormat/>
    <w:uiPriority w:val="99"/>
    <w:pPr>
      <w:jc w:val="center"/>
    </w:pPr>
  </w:style>
  <w:style w:type="paragraph" w:styleId="5">
    <w:name w:val="toa heading"/>
    <w:basedOn w:val="1"/>
    <w:next w:val="1"/>
    <w:qFormat/>
    <w:uiPriority w:val="0"/>
    <w:pPr>
      <w:spacing w:before="120"/>
    </w:pPr>
    <w:rPr>
      <w:rFonts w:ascii="Arial" w:hAnsi="Arial" w:cs="Arial"/>
      <w:sz w:val="24"/>
    </w:rPr>
  </w:style>
  <w:style w:type="paragraph" w:styleId="6">
    <w:name w:val="Body Text Indent"/>
    <w:basedOn w:val="1"/>
    <w:next w:val="1"/>
    <w:qFormat/>
    <w:uiPriority w:val="99"/>
    <w:pPr>
      <w:spacing w:line="360" w:lineRule="auto"/>
      <w:ind w:left="424" w:leftChars="202" w:firstLine="567"/>
    </w:pPr>
    <w:rPr>
      <w:sz w:val="24"/>
      <w:szCs w:val="24"/>
    </w:rPr>
  </w:style>
  <w:style w:type="paragraph" w:styleId="7">
    <w:name w:val="footer"/>
    <w:basedOn w:val="1"/>
    <w:next w:val="1"/>
    <w:qFormat/>
    <w:uiPriority w:val="0"/>
    <w:pPr>
      <w:tabs>
        <w:tab w:val="center" w:pos="4153"/>
        <w:tab w:val="right" w:pos="8306"/>
      </w:tabs>
      <w:snapToGrid w:val="0"/>
      <w:jc w:val="left"/>
    </w:pPr>
    <w:rPr>
      <w:sz w:val="18"/>
    </w:rPr>
  </w:style>
  <w:style w:type="paragraph" w:styleId="8">
    <w:name w:val="toc 1"/>
    <w:basedOn w:val="5"/>
    <w:next w:val="1"/>
    <w:unhideWhenUsed/>
    <w:qFormat/>
    <w:uiPriority w:val="39"/>
  </w:style>
  <w:style w:type="paragraph" w:styleId="9">
    <w:name w:val="Body Text First Indent 2"/>
    <w:basedOn w:val="6"/>
    <w:next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3167</Words>
  <Characters>3438</Characters>
  <Lines>0</Lines>
  <Paragraphs>0</Paragraphs>
  <TotalTime>0</TotalTime>
  <ScaleCrop>false</ScaleCrop>
  <LinksUpToDate>false</LinksUpToDate>
  <CharactersWithSpaces>3562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2023-11-13T07:49:00Z</dcterms:created>
  <dc:creator>文科</dc:creator>
  <cp:lastModifiedBy>什么糖</cp:lastModifiedBy>
  <dcterms:modified xsi:type="dcterms:W3CDTF">2025-10-17T09:28:29Z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8B14F8BAC24D4B9D953CF0B758A672EF_11</vt:lpwstr>
  </property>
  <property fmtid="{D5CDD505-2E9C-101B-9397-08002B2CF9AE}" pid="4" name="KSOTemplateDocerSaveRecord">
    <vt:lpwstr>eyJoZGlkIjoiYTZjNzhiMjViYzFjZWU4OGM2MWQwMTJhOTkwOGZmMzgiLCJ1c2VySWQiOiI2MjQzMzA2NDUifQ==</vt:lpwstr>
  </property>
</Properties>
</file>