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46D22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ind w:left="0" w:leftChars="0" w:right="0" w:righ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  <w:t>投标产品技术指标偏离表</w:t>
      </w:r>
    </w:p>
    <w:tbl>
      <w:tblPr>
        <w:tblStyle w:val="3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631"/>
        <w:gridCol w:w="2183"/>
        <w:gridCol w:w="2710"/>
        <w:gridCol w:w="1062"/>
        <w:gridCol w:w="1062"/>
      </w:tblGrid>
      <w:tr w14:paraId="24D30C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510" w:type="pct"/>
            <w:vMerge w:val="restart"/>
            <w:vAlign w:val="center"/>
          </w:tcPr>
          <w:p w14:paraId="433542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产品</w:t>
            </w:r>
          </w:p>
          <w:p w14:paraId="4C8AFBE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651" w:type="pct"/>
            <w:gridSpan w:val="2"/>
            <w:vAlign w:val="center"/>
          </w:tcPr>
          <w:p w14:paraId="38AD0B9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文件产品的参数及要求</w:t>
            </w:r>
          </w:p>
        </w:tc>
        <w:tc>
          <w:tcPr>
            <w:tcW w:w="1590" w:type="pct"/>
            <w:vMerge w:val="restart"/>
            <w:vAlign w:val="center"/>
          </w:tcPr>
          <w:p w14:paraId="30B52B2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文件产品的参数</w:t>
            </w:r>
          </w:p>
        </w:tc>
        <w:tc>
          <w:tcPr>
            <w:tcW w:w="623" w:type="pct"/>
            <w:vMerge w:val="restart"/>
            <w:vAlign w:val="center"/>
          </w:tcPr>
          <w:p w14:paraId="0DA6D6C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响应</w:t>
            </w:r>
          </w:p>
          <w:p w14:paraId="2F72F03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说明</w:t>
            </w:r>
          </w:p>
        </w:tc>
        <w:tc>
          <w:tcPr>
            <w:tcW w:w="623" w:type="pct"/>
            <w:vMerge w:val="restart"/>
            <w:vAlign w:val="center"/>
          </w:tcPr>
          <w:p w14:paraId="77D31EA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  <w:t>证明资料所在页码</w:t>
            </w:r>
          </w:p>
        </w:tc>
      </w:tr>
      <w:tr w14:paraId="0B1589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10" w:type="pct"/>
            <w:vMerge w:val="continue"/>
            <w:tcBorders>
              <w:bottom w:val="single" w:color="auto" w:sz="4" w:space="0"/>
            </w:tcBorders>
          </w:tcPr>
          <w:p w14:paraId="440F614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tcBorders>
              <w:right w:val="single" w:color="auto" w:sz="4" w:space="0"/>
            </w:tcBorders>
            <w:vAlign w:val="center"/>
          </w:tcPr>
          <w:p w14:paraId="11CE40D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eastAsia="en-US"/>
              </w:rPr>
              <w:t>序号</w:t>
            </w:r>
          </w:p>
        </w:tc>
        <w:tc>
          <w:tcPr>
            <w:tcW w:w="1281" w:type="pct"/>
            <w:tcBorders>
              <w:left w:val="single" w:color="auto" w:sz="4" w:space="0"/>
            </w:tcBorders>
            <w:vAlign w:val="center"/>
          </w:tcPr>
          <w:p w14:paraId="0477E68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eastAsia="en-US"/>
              </w:rPr>
              <w:t>内容</w:t>
            </w:r>
          </w:p>
        </w:tc>
        <w:tc>
          <w:tcPr>
            <w:tcW w:w="1590" w:type="pct"/>
            <w:vMerge w:val="continue"/>
            <w:tcBorders/>
          </w:tcPr>
          <w:p w14:paraId="71D6714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23" w:type="pct"/>
            <w:vMerge w:val="continue"/>
            <w:tcBorders/>
          </w:tcPr>
          <w:p w14:paraId="31B9CD1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23" w:type="pct"/>
            <w:vMerge w:val="continue"/>
            <w:tcBorders/>
          </w:tcPr>
          <w:p w14:paraId="7DFE421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258F57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10" w:type="pct"/>
            <w:vMerge w:val="restart"/>
            <w:tcBorders>
              <w:top w:val="single" w:color="auto" w:sz="4" w:space="0"/>
            </w:tcBorders>
          </w:tcPr>
          <w:p w14:paraId="63EF383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tcBorders>
              <w:right w:val="single" w:color="auto" w:sz="4" w:space="0"/>
            </w:tcBorders>
            <w:vAlign w:val="center"/>
          </w:tcPr>
          <w:p w14:paraId="179B781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81" w:type="pct"/>
            <w:tcBorders>
              <w:left w:val="single" w:color="auto" w:sz="4" w:space="0"/>
            </w:tcBorders>
            <w:vAlign w:val="center"/>
          </w:tcPr>
          <w:p w14:paraId="009720F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0" w:type="pct"/>
          </w:tcPr>
          <w:p w14:paraId="26C6E74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623" w:type="pct"/>
          </w:tcPr>
          <w:p w14:paraId="5D09200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23" w:type="pct"/>
          </w:tcPr>
          <w:p w14:paraId="79AE08F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5B0EB2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10" w:type="pct"/>
            <w:vMerge w:val="continue"/>
          </w:tcPr>
          <w:p w14:paraId="3E2F7E7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tcBorders>
              <w:right w:val="single" w:color="auto" w:sz="4" w:space="0"/>
            </w:tcBorders>
            <w:vAlign w:val="center"/>
          </w:tcPr>
          <w:p w14:paraId="2BA5C18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81" w:type="pct"/>
            <w:tcBorders>
              <w:left w:val="single" w:color="auto" w:sz="4" w:space="0"/>
            </w:tcBorders>
            <w:vAlign w:val="center"/>
          </w:tcPr>
          <w:p w14:paraId="1C98E6F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0" w:type="pct"/>
          </w:tcPr>
          <w:p w14:paraId="146C849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23" w:type="pct"/>
          </w:tcPr>
          <w:p w14:paraId="7AED31A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23" w:type="pct"/>
          </w:tcPr>
          <w:p w14:paraId="2F45ACC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738F12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10" w:type="pct"/>
            <w:vMerge w:val="continue"/>
          </w:tcPr>
          <w:p w14:paraId="31C5291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tcBorders>
              <w:right w:val="single" w:color="auto" w:sz="4" w:space="0"/>
            </w:tcBorders>
          </w:tcPr>
          <w:p w14:paraId="1AB9464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81" w:type="pct"/>
            <w:tcBorders>
              <w:left w:val="single" w:color="auto" w:sz="4" w:space="0"/>
            </w:tcBorders>
          </w:tcPr>
          <w:p w14:paraId="734445C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0" w:type="pct"/>
          </w:tcPr>
          <w:p w14:paraId="6F0F3DC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23" w:type="pct"/>
          </w:tcPr>
          <w:p w14:paraId="61D252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23" w:type="pct"/>
          </w:tcPr>
          <w:p w14:paraId="01B6519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2AC2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10" w:type="pct"/>
            <w:vMerge w:val="continue"/>
          </w:tcPr>
          <w:p w14:paraId="64312BC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tcBorders>
              <w:right w:val="single" w:color="auto" w:sz="4" w:space="0"/>
            </w:tcBorders>
          </w:tcPr>
          <w:p w14:paraId="27E200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81" w:type="pct"/>
            <w:tcBorders>
              <w:left w:val="single" w:color="auto" w:sz="4" w:space="0"/>
            </w:tcBorders>
          </w:tcPr>
          <w:p w14:paraId="1C7420D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0" w:type="pct"/>
          </w:tcPr>
          <w:p w14:paraId="78C3E43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23" w:type="pct"/>
          </w:tcPr>
          <w:p w14:paraId="4D2C768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23" w:type="pct"/>
          </w:tcPr>
          <w:p w14:paraId="5FEFAEE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4A5B5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10" w:type="pct"/>
            <w:vMerge w:val="continue"/>
          </w:tcPr>
          <w:p w14:paraId="328A7A0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tcBorders>
              <w:right w:val="single" w:color="auto" w:sz="4" w:space="0"/>
            </w:tcBorders>
          </w:tcPr>
          <w:p w14:paraId="7EA9FB6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81" w:type="pct"/>
            <w:tcBorders>
              <w:left w:val="single" w:color="auto" w:sz="4" w:space="0"/>
            </w:tcBorders>
          </w:tcPr>
          <w:p w14:paraId="2EB71A7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0" w:type="pct"/>
          </w:tcPr>
          <w:p w14:paraId="6FB70AC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23" w:type="pct"/>
          </w:tcPr>
          <w:p w14:paraId="7F85B5F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23" w:type="pct"/>
          </w:tcPr>
          <w:p w14:paraId="6537F7A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0FBDF5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10" w:type="pct"/>
            <w:vMerge w:val="continue"/>
          </w:tcPr>
          <w:p w14:paraId="2F1CB5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tcBorders>
              <w:right w:val="single" w:color="auto" w:sz="4" w:space="0"/>
            </w:tcBorders>
          </w:tcPr>
          <w:p w14:paraId="23133C4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81" w:type="pct"/>
            <w:tcBorders>
              <w:left w:val="single" w:color="auto" w:sz="4" w:space="0"/>
            </w:tcBorders>
          </w:tcPr>
          <w:p w14:paraId="407FA61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0" w:type="pct"/>
          </w:tcPr>
          <w:p w14:paraId="7D5CA83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23" w:type="pct"/>
          </w:tcPr>
          <w:p w14:paraId="0A23CA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23" w:type="pct"/>
          </w:tcPr>
          <w:p w14:paraId="7AEF2D5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1DBD8B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10" w:type="pct"/>
            <w:vMerge w:val="continue"/>
          </w:tcPr>
          <w:p w14:paraId="0F5D49E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tcBorders>
              <w:right w:val="single" w:color="auto" w:sz="4" w:space="0"/>
            </w:tcBorders>
          </w:tcPr>
          <w:p w14:paraId="4020DE7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81" w:type="pct"/>
            <w:tcBorders>
              <w:left w:val="single" w:color="auto" w:sz="4" w:space="0"/>
            </w:tcBorders>
          </w:tcPr>
          <w:p w14:paraId="31D1F26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0" w:type="pct"/>
          </w:tcPr>
          <w:p w14:paraId="4C4AE4D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23" w:type="pct"/>
          </w:tcPr>
          <w:p w14:paraId="4C7C1B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23" w:type="pct"/>
          </w:tcPr>
          <w:p w14:paraId="7DAC1BB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C9BA1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10" w:type="pct"/>
            <w:vMerge w:val="continue"/>
          </w:tcPr>
          <w:p w14:paraId="7040C4A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tcBorders>
              <w:right w:val="single" w:color="auto" w:sz="4" w:space="0"/>
            </w:tcBorders>
          </w:tcPr>
          <w:p w14:paraId="326B099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81" w:type="pct"/>
            <w:tcBorders>
              <w:left w:val="single" w:color="auto" w:sz="4" w:space="0"/>
            </w:tcBorders>
          </w:tcPr>
          <w:p w14:paraId="6C0503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0" w:type="pct"/>
          </w:tcPr>
          <w:p w14:paraId="34F63ED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23" w:type="pct"/>
          </w:tcPr>
          <w:p w14:paraId="7C372E7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23" w:type="pct"/>
          </w:tcPr>
          <w:p w14:paraId="2DE46AA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2A7506C">
      <w:pPr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autoSpaceDE/>
        <w:autoSpaceDN/>
        <w:bidi w:val="0"/>
        <w:adjustRightInd w:val="0"/>
        <w:snapToGrid w:val="0"/>
        <w:spacing w:before="156" w:beforeLines="50" w:line="400" w:lineRule="exact"/>
        <w:ind w:leftChars="0"/>
        <w:rPr>
          <w:rFonts w:ascii="楷体_GB2312" w:hAnsi="宋体" w:eastAsia="楷体_GB2312" w:cs="仿宋_GB2312"/>
          <w:bCs/>
          <w:snapToGrid/>
          <w:color w:val="FF0000"/>
          <w:kern w:val="0"/>
          <w:sz w:val="22"/>
          <w:szCs w:val="32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注：</w:t>
      </w:r>
    </w:p>
    <w:p w14:paraId="1C8FADB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1.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投标人应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按第三章技术参数与性能指标中技术参数栏中的全部内容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在“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响应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文件产品的参数”栏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逐条并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如实填写投标产品的参数和性能。</w:t>
      </w:r>
    </w:p>
    <w:p w14:paraId="4FAA68A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2.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eastAsia="zh-CN"/>
        </w:rPr>
        <w:t>响应说明填写：优于、等于、低于。</w:t>
      </w:r>
    </w:p>
    <w:p w14:paraId="0F9EEE7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val="en-US" w:eastAsia="zh-CN"/>
        </w:rPr>
        <w:t>3.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</w:rPr>
        <w:t>按评审标准后附所需的相关资料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eastAsia="zh-CN"/>
        </w:rPr>
        <w:t>，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在提供的资料上用方框等方式醒目标识评审的技术参数，未标示引起对供应商不利的后果由供应商自行承担，并在“证明资料所在页码”栏需填写具体的页码，以便谈判小组核对。</w:t>
      </w:r>
    </w:p>
    <w:p w14:paraId="225D4408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4.本附件需编制页码上传，便于谈判小组评审。</w:t>
      </w:r>
    </w:p>
    <w:p w14:paraId="0820289A">
      <w:pPr>
        <w:rPr>
          <w:rFonts w:hint="default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5.本表可横置填写，空间不足自行扩展。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0F35A7E"/>
    <w:rsid w:val="109F1014"/>
    <w:rsid w:val="21414D76"/>
    <w:rsid w:val="3FF9428E"/>
    <w:rsid w:val="5481728A"/>
    <w:rsid w:val="58112772"/>
    <w:rsid w:val="6DA647AF"/>
    <w:rsid w:val="70D65AF4"/>
    <w:rsid w:val="7B8A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245</Characters>
  <Lines>0</Lines>
  <Paragraphs>0</Paragraphs>
  <TotalTime>2</TotalTime>
  <ScaleCrop>false</ScaleCrop>
  <LinksUpToDate>false</LinksUpToDate>
  <CharactersWithSpaces>245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2025-10-15T06:27:12Z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