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版本号：YDZC2025-100120251024001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陕西省丹江口水库及上游流域水质保护与治理方案编制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YDZC2025-1001</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远大工程项目管理有限公司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远大工程项目管理有限公司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陕西省丹江口水库及上游流域水质保护与治理方案编制</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YDZC2025-1001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陕西省丹江口水库及上游流域水质保护与治理方案编制</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调查流域水质保护现状，分析水质保障存在主要问题；确定治理目标及总体布局方案；针对性制定水土流失治理、城镇污水治理、农业面源污染防治、尾矿库治理以及建立健全水安全监测体系，制定完善水质安全保护体制机制和法制体系、流域水资源调度体系、生态补偿机制、水质安全保障体系等具体措施，制定突发水污染事件应对预案；提出水质安全保障重点工程项目并估算投资、拟定实施计划；制定方案实施保障措施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1、投标人关联关系声明：单位负责人为同一人或者存在直接控股、管理关系的不同供应商，不得参加同一合同项下的政府采购活动；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2、企业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13909109616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远大工程项目管理有限公司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陕西省西安市未央区陕西省西安市经开区凤城八路长和国际18幢2单元2101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杜佳艺 雷婷 王亮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029-81527788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远大工程项目管理有限公司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远大工程项目管理有限公司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远大工程项目管理有限公司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招标文件、投标文件及其他相关行业标准。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联系人：杜佳艺</w:t>
      </w:r>
    </w:p>
    <w:p>
      <w:pPr>
        <w:pStyle w:val="null3"/>
      </w:pPr>
      <w:r>
        <w:rPr>
          <w:rFonts w:ascii="仿宋_GB2312" w:hAnsi="仿宋_GB2312" w:cs="仿宋_GB2312" w:eastAsia="仿宋_GB2312"/>
        </w:rPr>
        <w:t>联系电话：029-81527788</w:t>
      </w:r>
    </w:p>
    <w:p>
      <w:pPr>
        <w:pStyle w:val="null3"/>
      </w:pPr>
      <w:r>
        <w:rPr>
          <w:rFonts w:ascii="仿宋_GB2312" w:hAnsi="仿宋_GB2312" w:cs="仿宋_GB2312" w:eastAsia="仿宋_GB2312"/>
        </w:rPr>
        <w:t>地址：陕西省西安市未央区凤城七路长和国际D座20层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调查流域水质保护现状，分析水质保障存在主要问题；确定治理目标及总体布局方案；针对性制定水土流失治理、城镇污水治理、农业面源污染防治、尾矿库治理以及建立健全水安全监测体系，制定完善水质安全保护体制机制和法制体系、流域水资源调度体系、生态补偿机制、水质安全保障体系等具体措施，制定突发水污染事件应对预案；提出水质安全保障重点工程项目并估算投资、拟定实施计划；制定方案实施保障措施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3,200,000.00</w:t>
      </w:r>
    </w:p>
    <w:p>
      <w:pPr>
        <w:pStyle w:val="null3"/>
      </w:pPr>
      <w:r>
        <w:rPr>
          <w:rFonts w:ascii="仿宋_GB2312" w:hAnsi="仿宋_GB2312" w:cs="仿宋_GB2312" w:eastAsia="仿宋_GB2312"/>
        </w:rPr>
        <w:t>采购包最高限价（元）: 3,200,000.00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陕西省丹江口水库及上游流域水质保护与治理方案编制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标的名称：陕西省丹江口水库及上游流域水质保护与治理方案编制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 xml:space="preserve"> </w:t>
            </w:r>
            <w:r>
              <w:rPr>
                <w:rFonts w:ascii="仿宋_GB2312" w:hAnsi="仿宋_GB2312" w:cs="仿宋_GB2312" w:eastAsia="仿宋_GB2312"/>
                <w:sz w:val="24"/>
                <w:b/>
              </w:rPr>
              <w:t>（一）</w:t>
            </w:r>
            <w:r>
              <w:rPr>
                <w:rFonts w:ascii="仿宋_GB2312" w:hAnsi="仿宋_GB2312" w:cs="仿宋_GB2312" w:eastAsia="仿宋_GB2312"/>
                <w:sz w:val="24"/>
                <w:b/>
                <w:shd w:fill="FFFFFF" w:val="clear"/>
              </w:rPr>
              <w:t>采购项目概况：</w:t>
            </w:r>
            <w:r>
              <w:rPr>
                <w:rFonts w:ascii="仿宋_GB2312" w:hAnsi="仿宋_GB2312" w:cs="仿宋_GB2312" w:eastAsia="仿宋_GB2312"/>
                <w:sz w:val="24"/>
                <w:shd w:fill="FFFFFF" w:val="clear"/>
              </w:rPr>
              <w:t>陕西省丹江口水库及上游流域水质保护与治理方案编制工作范围为陕西省丹江口水库库区及上游流域，涉及宝鸡、汉中、安康、商洛、西安</w:t>
            </w:r>
            <w:r>
              <w:rPr>
                <w:rFonts w:ascii="仿宋_GB2312" w:hAnsi="仿宋_GB2312" w:cs="仿宋_GB2312" w:eastAsia="仿宋_GB2312"/>
                <w:sz w:val="24"/>
                <w:shd w:fill="FFFFFF" w:val="clear"/>
              </w:rPr>
              <w:t>5个地市的31个县（区），总面积6.27万km2，占丹江口水库控制流域面积9.52万km2的65.9%。方案近期水平年2025年，远期为2035年。</w:t>
            </w:r>
          </w:p>
          <w:p>
            <w:pPr>
              <w:pStyle w:val="null3"/>
              <w:ind w:firstLine="480"/>
            </w:pPr>
            <w:r>
              <w:rPr>
                <w:rFonts w:ascii="仿宋_GB2312" w:hAnsi="仿宋_GB2312" w:cs="仿宋_GB2312" w:eastAsia="仿宋_GB2312"/>
                <w:sz w:val="24"/>
                <w:shd w:fill="FFFFFF" w:val="clear"/>
              </w:rPr>
              <w:t>主要工作内容包括调查流域水质保护现状，分析水质保障存在主要问题；确定治理目标及总体布局方案；针对性制定水土流失治理、城镇污水治理、农业面源污染防治、尾矿库治理以及建立健全水安全监测体系，制定完善水质安全保护体制机制和法制体系、流域水资源调度体系、生态补偿机制、水质安全保障体系等具体措施，制定突发水污染事件应对预案；提出水质安全保障重点工程项目并估算投资、拟定实施计划；制定方案实施保障措施等。</w:t>
            </w:r>
          </w:p>
          <w:p>
            <w:pPr>
              <w:pStyle w:val="null3"/>
              <w:ind w:firstLine="482"/>
            </w:pPr>
            <w:r>
              <w:rPr>
                <w:rFonts w:ascii="仿宋_GB2312" w:hAnsi="仿宋_GB2312" w:cs="仿宋_GB2312" w:eastAsia="仿宋_GB2312"/>
                <w:sz w:val="24"/>
                <w:b/>
                <w:shd w:fill="FFFFFF" w:val="clear"/>
              </w:rPr>
              <w:t>（二）采购项目实施必要性论述：</w:t>
            </w:r>
            <w:r>
              <w:rPr>
                <w:rFonts w:ascii="仿宋_GB2312" w:hAnsi="仿宋_GB2312" w:cs="仿宋_GB2312" w:eastAsia="仿宋_GB2312"/>
                <w:sz w:val="24"/>
                <w:shd w:fill="FFFFFF" w:val="clear"/>
              </w:rPr>
              <w:t>为贯彻落实关于丹江口水库水质安全保障工作的重要指示批示精神和水利部关于进一步加强丹江口库区及其上游流域水质安全保障工作方案的要求，开展陕西省丹江口水库及上游流域水质保护与治理方案编制工作，全面分析查找陕西省丹江口库区及入库河流全流域水质风险隐患，立足水量、水质、永续北上三个方面，制定详细切实的整治措施，逐项整改落实，做到存量问题全面解决、潜在风险全面化解、增量问题全面遏制、体制机制全面健全，确保</w:t>
            </w:r>
            <w:r>
              <w:rPr>
                <w:rFonts w:ascii="仿宋_GB2312" w:hAnsi="仿宋_GB2312" w:cs="仿宋_GB2312" w:eastAsia="仿宋_GB2312"/>
                <w:sz w:val="24"/>
                <w:shd w:fill="FFFFFF" w:val="clear"/>
              </w:rPr>
              <w:t>“一泓清水永续北上”。</w:t>
            </w:r>
          </w:p>
          <w:p>
            <w:pPr>
              <w:pStyle w:val="null3"/>
              <w:ind w:firstLine="480"/>
            </w:pPr>
            <w:r>
              <w:rPr>
                <w:rFonts w:ascii="仿宋_GB2312" w:hAnsi="仿宋_GB2312" w:cs="仿宋_GB2312" w:eastAsia="仿宋_GB2312"/>
                <w:sz w:val="24"/>
                <w:b/>
                <w:shd w:fill="FFFFFF" w:val="clear"/>
              </w:rPr>
              <w:t>（三）采购项目实施依据：水利部关于印发《进一步加强丹江口水库及其上游流域水质安全保障工作方案》的通知</w:t>
            </w:r>
            <w:r>
              <w:rPr>
                <w:rFonts w:ascii="仿宋_GB2312" w:hAnsi="仿宋_GB2312" w:cs="仿宋_GB2312" w:eastAsia="仿宋_GB2312"/>
                <w:sz w:val="24"/>
                <w:b/>
                <w:shd w:fill="FFFFFF" w:val="clear"/>
              </w:rPr>
              <w:t>（水规计</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2023]316号</w:t>
            </w:r>
            <w:r>
              <w:rPr>
                <w:rFonts w:ascii="仿宋_GB2312" w:hAnsi="仿宋_GB2312" w:cs="仿宋_GB2312" w:eastAsia="仿宋_GB2312"/>
                <w:sz w:val="24"/>
                <w:b/>
                <w:shd w:fill="FFFFFF" w:val="clear"/>
              </w:rPr>
              <w:t>）</w:t>
            </w:r>
          </w:p>
          <w:p>
            <w:pPr>
              <w:pStyle w:val="null3"/>
              <w:ind w:firstLine="482"/>
              <w:jc w:val="both"/>
            </w:pPr>
            <w:r>
              <w:rPr>
                <w:rFonts w:ascii="仿宋_GB2312" w:hAnsi="仿宋_GB2312" w:cs="仿宋_GB2312" w:eastAsia="仿宋_GB2312"/>
                <w:sz w:val="24"/>
                <w:b/>
              </w:rPr>
              <w:t>（四）采购标的需实现的采购目标：</w:t>
            </w:r>
            <w:r>
              <w:rPr>
                <w:rFonts w:ascii="仿宋_GB2312" w:hAnsi="仿宋_GB2312" w:cs="仿宋_GB2312" w:eastAsia="仿宋_GB2312"/>
                <w:sz w:val="24"/>
              </w:rPr>
              <w:t>推进源头治理、系统治理和综合治理，建构严密的水安全监测体系、水资源调度体系和突发水污染事件应对预案，强化体制机制和法治管理，实现存量问题全面解决，潜在风险全面化解，增量问题全面遏制，体制机制建立健全，确保</w:t>
            </w:r>
            <w:r>
              <w:rPr>
                <w:rFonts w:ascii="仿宋_GB2312" w:hAnsi="仿宋_GB2312" w:cs="仿宋_GB2312" w:eastAsia="仿宋_GB2312"/>
                <w:sz w:val="24"/>
              </w:rPr>
              <w:t>“一泓清水永续北上”。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1.服务期结束后，中标人向采购人提交验收申请。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签订合同后7个工作日内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成果初稿提交后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1）若一方不能履行合同义务，出现重大违约，则另一方可以书面通知方式单方面终止本合同，并可要求赔偿损失。 2）除上述规定之情形外，提供服务过程中如果没有对方的书面同意，一方不能提前解除合同。如果未经对方同意解除合同，其应当支付合同暂定金额千分之一的违约金。 3）甲方延迟支付服务费，每延迟一日，应按延迟部分的千分之一向乙方支付逾期滞纳金。 4）如因乙方没有履行本合同相关义务以及条款对甲方造成损失的由乙方负全部责任。 5）若乙方未能按时提交符合要求的成果文件等，甲方除要求退还已付款项外还可以已付款项为基数，每延迟一日，应按已付款项的千分之一向甲方支付逾期违约； 6）合同一方违约的，对方应积极采取适当措施阻止损失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 2.财务状况报告：提供近一年度经审计的财务会计报告(含四表一注),或其开标前六个月内基本开户银行出具的资信证明，或信用担保机构出具的投标担保函(以上三种形式的资料提供任何一种即可); 3.社保缴纳证明：提供递交投标文件截止之日前一年内任意一个月的社会保障资金缴存单据或社保机构开具的社会保险参保缴费情况证明。依法不需要缴纳社会保障资金的供应商应提供相关证明文件； 4.税收缴纳证明：提供递交投标文件截止之日前一年内任意一个月的依法缴纳税收的相关凭据(时间以税款所属日期为准)。依法免税或无须缴纳税收的供应商，应提供相应证明文件； 5.提供具有履行本合同所必需的设备和专业技术能力的承诺； 6.提供参加政府采购活动前三年内，在经营活动中没有重大违法记录的投标响应声明书；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开标一览表 供应商应提交的相关资格证明材料.docx 服务内容及服务邀请应答表 投标函 中小企业声明函 残疾人福利性单位声明函 服务方案 标的清单 投标文件封面 商务应答表.docx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服务方案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对“服务地点、付款方式”等实质性内容进行响应且未附加采购人难以接受的条件</w:t>
            </w:r>
          </w:p>
        </w:tc>
        <w:tc>
          <w:tcPr>
            <w:tcW w:type="dxa" w:w="1661"/>
          </w:tcPr>
          <w:p>
            <w:pPr>
              <w:pStyle w:val="null3"/>
            </w:pPr>
            <w:r>
              <w:rPr>
                <w:rFonts w:ascii="仿宋_GB2312" w:hAnsi="仿宋_GB2312" w:cs="仿宋_GB2312" w:eastAsia="仿宋_GB2312"/>
              </w:rPr>
              <w:t>服务内容及服务邀请应答表 商务应答表.docx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针对本项目的特点提供总体的项目实施方案（包括但不限于总体的服务设想、编制框架及主要内容、服务目标、服务计划等），根据方案的科学性、合理性、针对性综合评审。 ①方案科学合理、切实可行，不缺项且有针对性解释说明得14分； ②方案比较合理、有一定的可行性，不缺项且有针对性解释说明得12分； ③方案比较合理、有一定的可行性，有针对性解释说明但缺项1项得10分； ④方案基本合理、具有可操作性，存在不确定因素，有针对性解释说明但缺项1项得8分； ⑤方案基本合理、可操作性不强，存在不确定因素，有针对性解释说明但缺项2项得6分； ⑥方案不够合理、可操作性不强，解释说明缺项2项得4分； ⑦方案不够合理、可操作性不强，存在缺项3项得2分； ⑧方案存在漏项较多，可操作性差，得1分； ⑨未提供或完全脱离项目实际的不得分。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①重点和难点分析全面，合理，并且提出切实可行的解决办法的，得8分； ②重点和难点分析全面，合理，对于重难点的解决办法较为合理可行的，得6分； ③重点和难点分析全面，合理，对于重难点的解决办法可行性一般的，得4分； ④重点和难点分析基本全面，基本合理，对于重难点的解决办法基本可行的，得2分； ⑤未提供或完全脱离项目实际的不得分。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①专业人员配备合理，拟投入本项目人员数量充足，专业人员配置齐全、针对性强、人员分工、岗位职责明确，能够满足采购人项目需求的，证明材料提供齐全、详细的得10分； ②专业人员配备数量充足，专业人员配备能够基本满足项目实施需要，分工、岗位职责安排有一定的合理性，基本能满足项目需求的，证明材料提供齐全、详细的得8分； ③专业人员配备数量基本充足、专业人员配备能够基本满足项目实施需要，分工、岗位职责安排基本合理的，证明材料提供不齐全的，得6分； ④专业人员配备数量较充足、专业人员配备能够基本满足项目实施需要，分工、岗位职责安排不明确、不合理的，且证明材料提供不齐全的得4分； ⑤专业人员配备数量较少，专业人员配备不齐全的，未提供相关证明材料的得2分； ⑥相关人员配置在满足采购人要求的基础上严重不足的不得分。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拟派技术负责人，具有相关专业高级或以上职称的得2分，中级职称得1分；其他不得分。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对投标人针对本项目的进度安排措施进行评审。 ①具有科学合理明确的工作进度计划，工作进度计划与实际需求的契合度高，时间节点把控清晰明确，对工作推进指导性强，得8分； ②具有科学合理工作进度计划，工作进度计划与实际需求的契合度相对较高，时间节点把控准确，对工作推进指导性强，得6分； ③工作进度计划基本符合实际需求，相关时间节点的把控要求基本准确，对工作推进相对有指导性，得4分； ④工作进度计划不符合实际需求，无法保证工作能够正常推进，得2分； ⑤未提供或完全脱离项目实际的不得分。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①措施全面、具体、可行、科学合理，得8分； ②措施比较全面、具体、可行、科学合理，得6分； ③措施简单，有一定的合理性得4分； ④措施存在较多缺漏，合理性较差，得2分； ⑤措施存在严重缺漏，不具备合理性，得1分； ⑥未提供或完全脱离项目实际的不得分。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规范和技术标准措施</w:t>
            </w:r>
          </w:p>
        </w:tc>
        <w:tc>
          <w:tcPr>
            <w:tcW w:type="dxa" w:w="2492"/>
          </w:tcPr>
          <w:p>
            <w:pPr>
              <w:pStyle w:val="null3"/>
            </w:pPr>
            <w:r>
              <w:rPr>
                <w:rFonts w:ascii="仿宋_GB2312" w:hAnsi="仿宋_GB2312" w:cs="仿宋_GB2312" w:eastAsia="仿宋_GB2312"/>
              </w:rPr>
              <w:t>根据对服务符合相关规范和技术标准的措施； ①措施方案全面具体、规范和技术标准高、数据可靠、能有效保障项目实施的得8分； ②措施方案较全面较具体、规范和技术标准较高、数据可靠、较能有效保障项目实施的得6分； ③措施方案基本全面、规范和技术标准高、数据较为可靠、对项目实施有利性一般得4分； ④措施方案不全面、规范和技术标准低、数据基本可靠、基本有利于对项目实施的的得2分； ⑤措施方案不全面、规范和技术标准低、数据不可靠的，不利于对项目实施的的得1分； ⑥未提供或完全脱离项目实际的不得分。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根据本项目采购需求并结合项目实际，制定对于数据、图纸、报告等内容的管理方案； ①方案得当、合理、规范，可行性强得8分； ②方案较合理，具有可行性得6分； ③方案基本合理，可行性一般得4分； ④方案简单，基本可行得2分； ⑤方案缺漏，不利于项目实施得1分； ⑥未提供或完全脱离项目实际的不得分。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①承诺全面且从多个角度明确地做出承诺，合理可行且完全能满足采购人对项目需求的，得6分； ②承诺基本全面且承诺内容基本可行的，得4分； ③承诺基本全面但实施有难度的，得2分； ④承诺不全面且实施难度大的，得1分； ⑤未提供或完全脱离项目实际的不得分。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①建议全面且从多个角度考虑，合理可行且对项目实施具有较强的指导作用的得6分； ②建议基本全面且建议内容基本可行的，得4分； ③建议基本全面但实施有难度的，得2分； ④建议不全面且实施难度大的，得1分； ⑤未提供或完全脱离项目实际的不得分。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供应商提供2022年1月1日至投标文件递交截止时间内的类似业绩，每提供一项单个合同项目得3分，累计最多得12分。 注：以投标文件中所附的加盖公章的业绩合同复印件为准，时间以合同签订时间为准；未提供业绩证明资料、业绩证明资料未显示时间、业绩证明资料显示时间不符合要求者不得分。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满足招标文件要求且报价最低的供应商的价格为评标基准价，其价格分为满分。其他供应商的价格分统一按照下列公式计算：投标报价得分=（评标基准价/投标报价）×分值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