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版本号：SXWZ2025ZB-YDDX-24020251020001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光电图像处理高性能计算平台项目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SXWZ2025ZB-YDDX-240</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光电图像处理高性能计算平台项目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SXWZ2025ZB-YDDX-240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光电图像处理高性能计算平台项目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光电图像处理高性能计算平台项目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须提供2025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3、税收缴纳证明：须提供2025年01月至今已缴纳的至少一个月纳税证明或完税证明，依法免税的单位应提供相关证明材料（以税款所属期为准）</w:t>
      </w:r>
    </w:p>
    <w:p>
      <w:pPr>
        <w:pStyle w:val="null3"/>
      </w:pPr>
      <w:r>
        <w:rPr>
          <w:rFonts w:ascii="仿宋_GB2312" w:hAnsi="仿宋_GB2312" w:cs="仿宋_GB2312" w:eastAsia="仿宋_GB2312"/>
        </w:rPr>
        <w:t>4、财务状况证明：提供经会计师事务所审计的2023年或2024年任意一年的财务审计报告（带二维码可查验）或在开标日期前六个月内其基本开户银行出具的资信证明</w:t>
      </w:r>
    </w:p>
    <w:p>
      <w:pPr>
        <w:pStyle w:val="null3"/>
      </w:pPr>
      <w:r>
        <w:rPr>
          <w:rFonts w:ascii="仿宋_GB2312" w:hAnsi="仿宋_GB2312" w:cs="仿宋_GB2312" w:eastAsia="仿宋_GB2312"/>
        </w:rPr>
        <w:t>5、无重大违法声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p>
      <w:pPr>
        <w:pStyle w:val="null3"/>
      </w:pPr>
      <w:r>
        <w:rPr>
          <w:rFonts w:ascii="仿宋_GB2312" w:hAnsi="仿宋_GB2312" w:cs="仿宋_GB2312" w:eastAsia="仿宋_GB2312"/>
        </w:rPr>
        <w:t>6、授权书：非法定代表人参加谈判的，须提供法定代表人授权委托书及被授权人身份证；法定代表人参加谈判时,须提供法定代表人身份证明书</w:t>
      </w:r>
    </w:p>
    <w:p>
      <w:pPr>
        <w:pStyle w:val="null3"/>
      </w:pPr>
      <w:r>
        <w:rPr>
          <w:rFonts w:ascii="仿宋_GB2312" w:hAnsi="仿宋_GB2312" w:cs="仿宋_GB2312" w:eastAsia="仿宋_GB2312"/>
        </w:rPr>
        <w:t>7、本项目不接受联合体谈判：本项目不接受联合体谈判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安老师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西安市雁塔区唐延路35号旺座现代城C座2502室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张刘艳 郝思思 张航波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采购包1：690,000.00元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开户名称：陕西万泽招标有限公司</w:t>
            </w:r>
          </w:p>
          <w:p>
            <w:pPr>
              <w:pStyle w:val="null3"/>
            </w:pPr>
            <w:r>
              <w:rPr>
                <w:rFonts w:ascii="仿宋_GB2312" w:hAnsi="仿宋_GB2312" w:cs="仿宋_GB2312" w:eastAsia="仿宋_GB2312"/>
              </w:rPr>
              <w:t>开户银行：招商银行西安枫林绿洲支行</w:t>
            </w:r>
          </w:p>
          <w:p>
            <w:pPr>
              <w:pStyle w:val="null3"/>
            </w:pPr>
            <w:r>
              <w:rPr>
                <w:rFonts w:ascii="仿宋_GB2312" w:hAnsi="仿宋_GB2312" w:cs="仿宋_GB2312" w:eastAsia="仿宋_GB2312"/>
              </w:rPr>
              <w:t>银行账号：129906492210000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说明：1、履约保证金待合同履约完毕后无息退还。2、缴纳履约保证金时须注明项目编号及用途(履约保证金)。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代理服务费用收取对象：中标/成交供应商。采购代理服务费的收取 参见原国家计委颁布的《招标代理服务费收费管理暂行办法》（计价格[2002]1980号）中服务类的收费标准下浮20%收取。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西安邮电大学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陕西万泽招标有限公司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根据签订合同逐一核对产品配件及功能要求，工作站节点功能是否正常使用</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联系人：张刘艳 郝思思 张航波</w:t>
      </w:r>
    </w:p>
    <w:p>
      <w:pPr>
        <w:pStyle w:val="null3"/>
      </w:pPr>
      <w:r>
        <w:rPr>
          <w:rFonts w:ascii="仿宋_GB2312" w:hAnsi="仿宋_GB2312" w:cs="仿宋_GB2312" w:eastAsia="仿宋_GB2312"/>
        </w:rPr>
        <w:t>联系电话：029-88319689-8006</w:t>
      </w:r>
    </w:p>
    <w:p>
      <w:pPr>
        <w:pStyle w:val="null3"/>
      </w:pPr>
      <w:r>
        <w:rPr>
          <w:rFonts w:ascii="仿宋_GB2312" w:hAnsi="仿宋_GB2312" w:cs="仿宋_GB2312" w:eastAsia="仿宋_GB2312"/>
        </w:rPr>
        <w:t>地址：西安市高新区唐延路35号旺座现代城C座2502室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光电图像处理高性能计算平台项目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690,000.00</w:t>
      </w:r>
    </w:p>
    <w:p>
      <w:pPr>
        <w:pStyle w:val="null3"/>
      </w:pPr>
      <w:r>
        <w:rPr>
          <w:rFonts w:ascii="仿宋_GB2312" w:hAnsi="仿宋_GB2312" w:cs="仿宋_GB2312" w:eastAsia="仿宋_GB2312"/>
        </w:rPr>
        <w:t>采购包最高限价（元）: 690,000.00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光电图像处理高性能计算平台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690,000.00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标的名称：光电图像处理高性能计算平台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一、技术要求</w:t>
            </w:r>
          </w:p>
          <w:p>
            <w:pPr>
              <w:pStyle w:val="null3"/>
              <w:jc w:val="both"/>
            </w:pPr>
            <w:r>
              <w:rPr>
                <w:rFonts w:ascii="仿宋_GB2312" w:hAnsi="仿宋_GB2312" w:cs="仿宋_GB2312" w:eastAsia="仿宋_GB2312"/>
              </w:rPr>
              <w:t>包含</w:t>
            </w:r>
            <w:r>
              <w:rPr>
                <w:rFonts w:ascii="仿宋_GB2312" w:hAnsi="仿宋_GB2312" w:cs="仿宋_GB2312" w:eastAsia="仿宋_GB2312"/>
              </w:rPr>
              <w:t>2个站立式液冷静音工作站节点，单个节点的参数如下：</w:t>
            </w:r>
          </w:p>
          <w:p>
            <w:pPr>
              <w:pStyle w:val="null3"/>
              <w:jc w:val="both"/>
            </w:pPr>
            <w:r>
              <w:rPr>
                <w:rFonts w:ascii="仿宋_GB2312" w:hAnsi="仿宋_GB2312" w:cs="仿宋_GB2312" w:eastAsia="仿宋_GB2312"/>
              </w:rPr>
              <w:t>1)塔式超静音GPU工作站；CPU和GPU采用一体式液冷散热系统；散热动力系统采用冗余设计；CPU/GPU等主要计算单元模块化设计，可独立更换；并联式散热结构可保证整个散热系统的温度均衡，避免出现单点热量过高；满负荷运行噪音低于55分贝</w:t>
            </w:r>
            <w:r>
              <w:rPr>
                <w:rFonts w:ascii="仿宋_GB2312" w:hAnsi="仿宋_GB2312" w:cs="仿宋_GB2312" w:eastAsia="仿宋_GB2312"/>
              </w:rPr>
              <w:t>；</w:t>
            </w:r>
            <w:r>
              <w:rPr>
                <w:rFonts w:ascii="仿宋_GB2312" w:hAnsi="仿宋_GB2312" w:cs="仿宋_GB2312" w:eastAsia="仿宋_GB2312"/>
                <w:b/>
              </w:rPr>
              <w:t>对整机需提供相关证明材料（不限于彩页、官网截图、</w:t>
            </w:r>
            <w:r>
              <w:rPr>
                <w:rFonts w:ascii="仿宋_GB2312" w:hAnsi="仿宋_GB2312" w:cs="仿宋_GB2312" w:eastAsia="仿宋_GB2312"/>
                <w:b/>
              </w:rPr>
              <w:t>技术白皮书</w:t>
            </w:r>
            <w:r>
              <w:rPr>
                <w:rFonts w:ascii="仿宋_GB2312" w:hAnsi="仿宋_GB2312" w:cs="仿宋_GB2312" w:eastAsia="仿宋_GB2312"/>
                <w:b/>
              </w:rPr>
              <w:t>、检测报告等）</w:t>
            </w:r>
          </w:p>
          <w:p>
            <w:pPr>
              <w:pStyle w:val="null3"/>
              <w:jc w:val="both"/>
            </w:pPr>
            <w:r>
              <w:rPr>
                <w:rFonts w:ascii="仿宋_GB2312" w:hAnsi="仿宋_GB2312" w:cs="仿宋_GB2312" w:eastAsia="仿宋_GB2312"/>
              </w:rPr>
              <w:t>2)产品质保：非组装机，只接受原厂机型，提供来源渠道合法的证明文件</w:t>
            </w:r>
          </w:p>
          <w:p>
            <w:pPr>
              <w:pStyle w:val="null3"/>
              <w:jc w:val="both"/>
            </w:pPr>
            <w:r>
              <w:rPr>
                <w:rFonts w:ascii="仿宋_GB2312" w:hAnsi="仿宋_GB2312" w:cs="仿宋_GB2312" w:eastAsia="仿宋_GB2312"/>
              </w:rPr>
              <w:t>3)处理器：本次配置2颗处理器，单颗处理器性能如下：核心数≥32C；线程数≥64线程；主频≥2.1 GHz；最大睿频≥4 GHz；三级缓存≥160 MB；TDP功耗≥270 W</w:t>
            </w:r>
            <w:r>
              <w:rPr>
                <w:rFonts w:ascii="仿宋_GB2312" w:hAnsi="仿宋_GB2312" w:cs="仿宋_GB2312" w:eastAsia="仿宋_GB2312"/>
              </w:rPr>
              <w:t>；</w:t>
            </w:r>
            <w:r>
              <w:rPr>
                <w:rFonts w:ascii="仿宋_GB2312" w:hAnsi="仿宋_GB2312" w:cs="仿宋_GB2312" w:eastAsia="仿宋_GB2312"/>
                <w:b/>
              </w:rPr>
              <w:t>对处理器需提供相关证明材料（不限于彩页、官网截图、</w:t>
            </w:r>
            <w:r>
              <w:rPr>
                <w:rFonts w:ascii="仿宋_GB2312" w:hAnsi="仿宋_GB2312" w:cs="仿宋_GB2312" w:eastAsia="仿宋_GB2312"/>
                <w:b/>
              </w:rPr>
              <w:t>技术白皮书</w:t>
            </w:r>
            <w:r>
              <w:rPr>
                <w:rFonts w:ascii="仿宋_GB2312" w:hAnsi="仿宋_GB2312" w:cs="仿宋_GB2312" w:eastAsia="仿宋_GB2312"/>
                <w:b/>
              </w:rPr>
              <w:t>、检测报告等）</w:t>
            </w:r>
          </w:p>
          <w:p>
            <w:pPr>
              <w:pStyle w:val="null3"/>
              <w:jc w:val="both"/>
            </w:pPr>
            <w:r>
              <w:rPr>
                <w:rFonts w:ascii="仿宋_GB2312" w:hAnsi="仿宋_GB2312" w:cs="仿宋_GB2312" w:eastAsia="仿宋_GB2312"/>
              </w:rPr>
              <w:t>4)内存：本次配置16条内存条，单条容量≥64GB，频率≥4800MHz</w:t>
            </w:r>
          </w:p>
          <w:p>
            <w:pPr>
              <w:pStyle w:val="null3"/>
              <w:jc w:val="both"/>
            </w:pPr>
            <w:r>
              <w:rPr>
                <w:rFonts w:ascii="仿宋_GB2312" w:hAnsi="仿宋_GB2312" w:cs="仿宋_GB2312" w:eastAsia="仿宋_GB2312"/>
              </w:rPr>
              <w:t>5)系统盘：配置≥1块 企业级3.84TB NVME U.2 SSD 硬盘</w:t>
            </w:r>
          </w:p>
          <w:p>
            <w:pPr>
              <w:pStyle w:val="null3"/>
              <w:jc w:val="both"/>
            </w:pPr>
            <w:r>
              <w:rPr>
                <w:rFonts w:ascii="仿宋_GB2312" w:hAnsi="仿宋_GB2312" w:cs="仿宋_GB2312" w:eastAsia="仿宋_GB2312"/>
              </w:rPr>
              <w:t>6)数据盘：配置≥4块 企业级 16TB SATA 7200RPM 硬盘</w:t>
            </w:r>
          </w:p>
          <w:p>
            <w:pPr>
              <w:pStyle w:val="null3"/>
              <w:jc w:val="both"/>
            </w:pPr>
            <w:r>
              <w:rPr>
                <w:rFonts w:ascii="仿宋_GB2312" w:hAnsi="仿宋_GB2312" w:cs="仿宋_GB2312" w:eastAsia="仿宋_GB2312"/>
              </w:rPr>
              <w:t>7)配置1块8端口 12Gb/s 1G缓存RAID卡；支持RAID 0、1、5、6、10、50 和 60等RAID级别</w:t>
            </w:r>
          </w:p>
          <w:p>
            <w:pPr>
              <w:pStyle w:val="null3"/>
              <w:jc w:val="both"/>
            </w:pPr>
            <w:r>
              <w:rPr>
                <w:rFonts w:ascii="仿宋_GB2312" w:hAnsi="仿宋_GB2312" w:cs="仿宋_GB2312" w:eastAsia="仿宋_GB2312"/>
              </w:rPr>
              <w:t>8)扩展性：支持不低于12个前置热插拔3.5 SATA/SAS/NVME硬盘位</w:t>
            </w:r>
          </w:p>
          <w:p>
            <w:pPr>
              <w:pStyle w:val="null3"/>
              <w:jc w:val="both"/>
            </w:pPr>
            <w:r>
              <w:rPr>
                <w:rFonts w:ascii="仿宋_GB2312" w:hAnsi="仿宋_GB2312" w:cs="仿宋_GB2312" w:eastAsia="仿宋_GB2312"/>
              </w:rPr>
              <w:t>9)GPU: 本次配置4块GPU加速卡；单块GPU加速卡性能如下：显存≥48GB GDDR6；显存带宽≥960 GB/s；CUDA核心数≥18176；Tensor Cores≥568；RT Cores≥142；显存位宽≥384-bit；单精度浮点计算能力≥91.1 TFLOPS；显示端口≥4 个 DisplayPort 1.4 端口；功耗≤300W</w:t>
            </w:r>
            <w:r>
              <w:rPr>
                <w:rFonts w:ascii="仿宋_GB2312" w:hAnsi="仿宋_GB2312" w:cs="仿宋_GB2312" w:eastAsia="仿宋_GB2312"/>
              </w:rPr>
              <w:t>；</w:t>
            </w:r>
            <w:r>
              <w:rPr>
                <w:rFonts w:ascii="仿宋_GB2312" w:hAnsi="仿宋_GB2312" w:cs="仿宋_GB2312" w:eastAsia="仿宋_GB2312"/>
                <w:b/>
              </w:rPr>
              <w:t>对</w:t>
            </w:r>
            <w:r>
              <w:rPr>
                <w:rFonts w:ascii="仿宋_GB2312" w:hAnsi="仿宋_GB2312" w:cs="仿宋_GB2312" w:eastAsia="仿宋_GB2312"/>
                <w:b/>
              </w:rPr>
              <w:t>GPU需提供相关证明材料（不限于彩页、官网截图、</w:t>
            </w:r>
            <w:r>
              <w:rPr>
                <w:rFonts w:ascii="仿宋_GB2312" w:hAnsi="仿宋_GB2312" w:cs="仿宋_GB2312" w:eastAsia="仿宋_GB2312"/>
                <w:b/>
              </w:rPr>
              <w:t>技术白皮书</w:t>
            </w:r>
            <w:r>
              <w:rPr>
                <w:rFonts w:ascii="仿宋_GB2312" w:hAnsi="仿宋_GB2312" w:cs="仿宋_GB2312" w:eastAsia="仿宋_GB2312"/>
                <w:b/>
              </w:rPr>
              <w:t>、检测报告等）</w:t>
            </w:r>
          </w:p>
          <w:p>
            <w:pPr>
              <w:pStyle w:val="null3"/>
              <w:jc w:val="both"/>
            </w:pPr>
            <w:r>
              <w:rPr>
                <w:rFonts w:ascii="仿宋_GB2312" w:hAnsi="仿宋_GB2312" w:cs="仿宋_GB2312" w:eastAsia="仿宋_GB2312"/>
              </w:rPr>
              <w:t>10)电源：配置≥1个2400W ATX模组电源</w:t>
            </w:r>
          </w:p>
          <w:p>
            <w:pPr>
              <w:pStyle w:val="null3"/>
              <w:jc w:val="both"/>
            </w:pPr>
            <w:r>
              <w:rPr>
                <w:rFonts w:ascii="仿宋_GB2312" w:hAnsi="仿宋_GB2312" w:cs="仿宋_GB2312" w:eastAsia="仿宋_GB2312"/>
              </w:rPr>
              <w:t>11)操作系统及技术支持：预安装Linux操作系统，能够提供专用管理软件安装以及其他软件环境搭建的技术支持</w:t>
            </w:r>
          </w:p>
          <w:p>
            <w:pPr>
              <w:pStyle w:val="null3"/>
              <w:jc w:val="both"/>
            </w:pPr>
            <w:r>
              <w:rPr>
                <w:rFonts w:ascii="仿宋_GB2312" w:hAnsi="仿宋_GB2312" w:cs="仿宋_GB2312" w:eastAsia="仿宋_GB2312"/>
              </w:rPr>
              <w:t>12)显示器：单节点配置1台≥27英寸2K显示器</w:t>
            </w:r>
          </w:p>
          <w:p>
            <w:pPr>
              <w:pStyle w:val="null3"/>
              <w:jc w:val="both"/>
            </w:pPr>
            <w:r>
              <w:rPr>
                <w:rFonts w:ascii="仿宋_GB2312" w:hAnsi="仿宋_GB2312" w:cs="仿宋_GB2312" w:eastAsia="仿宋_GB2312"/>
              </w:rPr>
              <w:t>13)工作站节点要求全新，产品为全配置装箱，可通过生产厂商服务热线可查询到配置详细信息，必须和采购要求匹配一致。</w:t>
            </w:r>
          </w:p>
          <w:p>
            <w:pPr>
              <w:pStyle w:val="null3"/>
              <w:jc w:val="both"/>
            </w:pPr>
            <w:r>
              <w:rPr>
                <w:rFonts w:ascii="仿宋_GB2312" w:hAnsi="仿宋_GB2312" w:cs="仿宋_GB2312" w:eastAsia="仿宋_GB2312"/>
              </w:rPr>
              <w:t>14)工作站节点包含如下功能：</w:t>
            </w:r>
          </w:p>
          <w:p>
            <w:pPr>
              <w:pStyle w:val="null3"/>
              <w:jc w:val="both"/>
            </w:pPr>
            <w:r>
              <w:rPr>
                <w:rFonts w:ascii="仿宋_GB2312" w:hAnsi="仿宋_GB2312" w:cs="仿宋_GB2312" w:eastAsia="仿宋_GB2312"/>
              </w:rPr>
              <w:t>a)机器学习/深度学习/大模型框架支持：集成深度学习各种框架（如TensorFlow，pytorch 等）模型开发、模型训练等；</w:t>
            </w:r>
          </w:p>
          <w:p>
            <w:pPr>
              <w:pStyle w:val="null3"/>
              <w:jc w:val="both"/>
            </w:pPr>
            <w:r>
              <w:rPr>
                <w:rFonts w:ascii="仿宋_GB2312" w:hAnsi="仿宋_GB2312" w:cs="仿宋_GB2312" w:eastAsia="仿宋_GB2312"/>
              </w:rPr>
              <w:t>b)开发容器管理：提供基于容器的开发容器创建、停止、复制等管理功能，用户可基于公共镜像、自定义镜像创建开发容器；可将开发容器保存为容器镜像，用于训练、推理的运行环境；提供 Jupyter Notebook、VSCode 等主流开发环境；</w:t>
            </w:r>
          </w:p>
          <w:p>
            <w:pPr>
              <w:pStyle w:val="null3"/>
              <w:jc w:val="both"/>
            </w:pPr>
            <w:r>
              <w:rPr>
                <w:rFonts w:ascii="仿宋_GB2312" w:hAnsi="仿宋_GB2312" w:cs="仿宋_GB2312" w:eastAsia="仿宋_GB2312"/>
              </w:rPr>
              <w:t>c)训练任务管理：可通过Web界面快速创建大模型/机器学习的模型训练任务</w:t>
            </w:r>
          </w:p>
          <w:p>
            <w:pPr>
              <w:pStyle w:val="null3"/>
              <w:jc w:val="both"/>
            </w:pPr>
            <w:r>
              <w:rPr>
                <w:rFonts w:ascii="仿宋_GB2312" w:hAnsi="仿宋_GB2312" w:cs="仿宋_GB2312" w:eastAsia="仿宋_GB2312"/>
              </w:rPr>
              <w:t>d)用户可按需选择所需的 GPU 资源， 支持多机多卡分布式大规模训练；支持在线查看训练日志，</w:t>
            </w:r>
          </w:p>
          <w:p>
            <w:pPr>
              <w:pStyle w:val="null3"/>
              <w:jc w:val="both"/>
            </w:pPr>
            <w:r>
              <w:rPr>
                <w:rFonts w:ascii="仿宋_GB2312" w:hAnsi="仿宋_GB2312" w:cs="仿宋_GB2312" w:eastAsia="仿宋_GB2312"/>
              </w:rPr>
              <w:t>e)支持 Web SSH方式登录和操作训练任务所运行的各个容器；训练完成销毁运行环境、释放计算资源；可灵活配置训练参数；支持基于Tensorboard 的训练可视化；</w:t>
            </w:r>
          </w:p>
          <w:p>
            <w:pPr>
              <w:pStyle w:val="null3"/>
              <w:jc w:val="both"/>
            </w:pPr>
            <w:r>
              <w:rPr>
                <w:rFonts w:ascii="仿宋_GB2312" w:hAnsi="仿宋_GB2312" w:cs="仿宋_GB2312" w:eastAsia="仿宋_GB2312"/>
              </w:rPr>
              <w:t>f)推理服务管理：可通过Web界面快速创建推理服务，用户可按需选择所需的GPU资源，</w:t>
            </w:r>
          </w:p>
          <w:p>
            <w:pPr>
              <w:pStyle w:val="null3"/>
              <w:jc w:val="both"/>
            </w:pPr>
            <w:r>
              <w:rPr>
                <w:rFonts w:ascii="仿宋_GB2312" w:hAnsi="仿宋_GB2312" w:cs="仿宋_GB2312" w:eastAsia="仿宋_GB2312"/>
              </w:rPr>
              <w:t>g)支持 Triton、TensorRT 等推理加速技术；可灵活配置推理服务启动参数；</w:t>
            </w:r>
          </w:p>
          <w:p>
            <w:pPr>
              <w:pStyle w:val="null3"/>
              <w:jc w:val="both"/>
            </w:pPr>
            <w:r>
              <w:rPr>
                <w:rFonts w:ascii="仿宋_GB2312" w:hAnsi="仿宋_GB2312" w:cs="仿宋_GB2312" w:eastAsia="仿宋_GB2312"/>
              </w:rPr>
              <w:t>h)大模型应用快速构建：基于推理服务的大模型应用快速构建功能，用户可通过 Web界面简单配置后形成大模型应用；支持向量数据库创建与管理，并作为知识库提供给大模型；支持提示词工程；</w:t>
            </w:r>
          </w:p>
          <w:p>
            <w:pPr>
              <w:pStyle w:val="null3"/>
              <w:jc w:val="both"/>
            </w:pPr>
            <w:r>
              <w:rPr>
                <w:rFonts w:ascii="仿宋_GB2312" w:hAnsi="仿宋_GB2312" w:cs="仿宋_GB2312" w:eastAsia="仿宋_GB2312"/>
              </w:rPr>
              <w:t>i)支持多模态大模型应用的创建；提供易用的大模型应用界面访问方案，并提供 API 接口体系供大模型应用的二次开发；</w:t>
            </w:r>
          </w:p>
          <w:p>
            <w:pPr>
              <w:pStyle w:val="null3"/>
              <w:jc w:val="both"/>
            </w:pPr>
            <w:r>
              <w:rPr>
                <w:rFonts w:ascii="仿宋_GB2312" w:hAnsi="仿宋_GB2312" w:cs="仿宋_GB2312" w:eastAsia="仿宋_GB2312"/>
              </w:rPr>
              <w:t>二、配置要求</w:t>
            </w:r>
          </w:p>
          <w:p>
            <w:pPr>
              <w:pStyle w:val="null3"/>
              <w:jc w:val="both"/>
            </w:pPr>
            <w:r>
              <w:rPr>
                <w:rFonts w:ascii="仿宋_GB2312" w:hAnsi="仿宋_GB2312" w:cs="仿宋_GB2312" w:eastAsia="仿宋_GB2312"/>
              </w:rPr>
              <w:t>1)平台：站立式液冷静音工作站，最大支持4/6张单宽全高液冷计算卡，支持2颗可扩展处理器，最大功耗385W，16个内存槽4TB DDR5-5600MHz，6个PCI-E 5.0插槽，BMC，2个千兆RJ45网口，可支持4/8/12个前置热插拔3.5 SATA/SAS/NVME硬盘位，2400W ATX模组电源</w:t>
            </w:r>
          </w:p>
          <w:p>
            <w:pPr>
              <w:pStyle w:val="null3"/>
              <w:jc w:val="both"/>
            </w:pPr>
            <w:r>
              <w:rPr>
                <w:rFonts w:ascii="仿宋_GB2312" w:hAnsi="仿宋_GB2312" w:cs="仿宋_GB2312" w:eastAsia="仿宋_GB2312"/>
                <w:sz w:val="21"/>
              </w:rPr>
              <w:t>2)配置1套资源管理平台，包含资源管理、任务调度、用户权限管理、模型开发等功能</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合同签订后45天安装调试完成保证可正常使用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西安邮电大学指定地点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货到安装调试完成后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待验收合格后，凭成交供应商开具全额增值税专用发票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根据签订合同逐一核对产品配件及功能要求，工作站节点功能是否正常使用</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工作站节点要求全新，产品为全配置装箱</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质保期3年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质保期内有相应技术人员支持在使用中遇到的软硬件技术问题，30分钟响应，4小时可到现场进行技术支持。2、免费提供一次培训和软件使用讲解服务，并提供相应的详细培训资料。3、须免费赠送一次设备移机服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w:t>
            </w:r>
          </w:p>
        </w:tc>
        <w:tc>
          <w:tcPr>
            <w:tcW w:type="dxa" w:w="3322"/>
          </w:tcPr>
          <w:p>
            <w:pPr>
              <w:pStyle w:val="null3"/>
            </w:pPr>
            <w:r>
              <w:rPr>
                <w:rFonts w:ascii="仿宋_GB2312" w:hAnsi="仿宋_GB2312" w:cs="仿宋_GB2312" w:eastAsia="仿宋_GB2312"/>
              </w:rPr>
              <w:t>依据《中华人民共和国政府采购法》和《中华人民共和国政府法采购法实施条例》的有关规定，落实政府采购“优先购买节能环保产品、扶持小微企业、残疾人就业、监狱企业、福利企业” 等相关政策。 1、《政府采购促进中小企业发展管理办法》（财库〔2020〕46号）； 2、《关于进一步加大政府采购支持中小企业力度的通知》财库〔2022〕19号； 3、《财政部 司法部关于政府采购支持监狱企业发展有关问题的通知》（财库〔2014〕68号）； 4、《国务院办公厅关于建立政府强制采购节能产品制度的通知》（国办发〔2007〕51号）； 5、《关于调整优化节能产品、环境标志产品政府采购执行机制的通知》（财库[2019]9号）； 6、《关于发布参与实施政府采购节能产品、环境标志产品认证机构名录的公告》（2019年第16号）； 7、《三部门联合发布关于促进残疾人就业政府采购政策的通知》（财库〔2017〕141号）。 8、陕西省财政厅关于印发《陕西省中小企业政府采购信用融资办法》（陕财办采〔2018〕23号）。 9、其他需要落实的政府采购政策；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须提供2025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须提供2025年01月至今已缴纳的至少一个月纳税证明或完税证明，依法免税的单位应提供相关证明材料（以税款所属期为准）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提供经会计师事务所审计的2023年或2024年任意一年的财务审计报告（带二维码可查验）或在开标日期前六个月内其基本开户银行出具的资信证明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非法定代表人参加谈判的，须提供法定代表人授权委托书及被授权人身份证；法定代表人参加谈判时,须提供法定代表人身份证明书</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02供应商资格证明资料.docx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投标报价未超过预算或最高限价</w:t>
            </w:r>
          </w:p>
        </w:tc>
        <w:tc>
          <w:tcPr>
            <w:tcW w:type="dxa" w:w="1661"/>
          </w:tcPr>
          <w:p>
            <w:pPr>
              <w:pStyle w:val="null3"/>
            </w:pPr>
            <w:r>
              <w:rPr>
                <w:rFonts w:ascii="仿宋_GB2312" w:hAnsi="仿宋_GB2312" w:cs="仿宋_GB2312" w:eastAsia="仿宋_GB2312"/>
              </w:rPr>
              <w:t>01分项报价表.docx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03商务和技术响应偏离表.docx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03商务和技术响应偏离表.docx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签字和盖章</w:t>
            </w:r>
          </w:p>
        </w:tc>
        <w:tc>
          <w:tcPr>
            <w:tcW w:type="dxa" w:w="3322"/>
          </w:tcPr>
          <w:p>
            <w:pPr>
              <w:pStyle w:val="null3"/>
            </w:pPr>
            <w:r>
              <w:rPr>
                <w:rFonts w:ascii="仿宋_GB2312" w:hAnsi="仿宋_GB2312" w:cs="仿宋_GB2312" w:eastAsia="仿宋_GB2312"/>
              </w:rPr>
              <w:t>签字和盖章均符合招标文件要求，且无遗漏</w:t>
            </w:r>
          </w:p>
        </w:tc>
        <w:tc>
          <w:tcPr>
            <w:tcW w:type="dxa" w:w="1661"/>
          </w:tcPr>
          <w:p>
            <w:pPr>
              <w:pStyle w:val="null3"/>
            </w:pPr>
            <w:r>
              <w:rPr>
                <w:rFonts w:ascii="仿宋_GB2312" w:hAnsi="仿宋_GB2312" w:cs="仿宋_GB2312" w:eastAsia="仿宋_GB2312"/>
              </w:rPr>
              <w:t>响应文件封面 05供应商认为有必要说明的其他问题及承诺书.docx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谈判保证金</w:t>
            </w:r>
          </w:p>
        </w:tc>
        <w:tc>
          <w:tcPr>
            <w:tcW w:type="dxa" w:w="3322"/>
          </w:tcPr>
          <w:p>
            <w:pPr>
              <w:pStyle w:val="null3"/>
            </w:pPr>
            <w:r>
              <w:rPr>
                <w:rFonts w:ascii="仿宋_GB2312" w:hAnsi="仿宋_GB2312" w:cs="仿宋_GB2312" w:eastAsia="仿宋_GB2312"/>
              </w:rPr>
              <w:t>按照采购文件要求缴纳保证金或担保机构出具的保函</w:t>
            </w:r>
          </w:p>
        </w:tc>
        <w:tc>
          <w:tcPr>
            <w:tcW w:type="dxa" w:w="1661"/>
          </w:tcPr>
          <w:p>
            <w:pPr>
              <w:pStyle w:val="null3"/>
            </w:pPr>
            <w:r>
              <w:rPr>
                <w:rFonts w:ascii="仿宋_GB2312" w:hAnsi="仿宋_GB2312" w:cs="仿宋_GB2312" w:eastAsia="仿宋_GB2312"/>
              </w:rPr>
              <w:t>07投标保证金退还信息确认表.docx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其他商务要求及技术指标</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04技术支持资料及实施方案.docx 03商务和技术响应偏离表.docx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符合法律法规和采购文件规定的其他实质性要求</w:t>
            </w:r>
          </w:p>
        </w:tc>
        <w:tc>
          <w:tcPr>
            <w:tcW w:type="dxa" w:w="1661"/>
          </w:tcPr>
          <w:p>
            <w:pPr>
              <w:pStyle w:val="null3"/>
            </w:pPr>
            <w:r>
              <w:rPr>
                <w:rFonts w:ascii="仿宋_GB2312" w:hAnsi="仿宋_GB2312" w:cs="仿宋_GB2312" w:eastAsia="仿宋_GB2312"/>
              </w:rPr>
              <w:t>06供应商业绩一览表.docx 05供应商认为有必要说明的其他问题及承诺书.docx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详见附件：01分项报价表.docx</w:t>
      </w:r>
    </w:p>
    <w:p>
      <w:pPr>
        <w:pStyle w:val="null3"/>
        <w:ind w:firstLine="960"/>
      </w:pPr>
      <w:r>
        <w:rPr>
          <w:rFonts w:ascii="仿宋_GB2312" w:hAnsi="仿宋_GB2312" w:cs="仿宋_GB2312" w:eastAsia="仿宋_GB2312"/>
        </w:rPr>
        <w:t>详见附件：02供应商资格证明资料.docx</w:t>
      </w:r>
    </w:p>
    <w:p>
      <w:pPr>
        <w:pStyle w:val="null3"/>
        <w:ind w:firstLine="960"/>
      </w:pPr>
      <w:r>
        <w:rPr>
          <w:rFonts w:ascii="仿宋_GB2312" w:hAnsi="仿宋_GB2312" w:cs="仿宋_GB2312" w:eastAsia="仿宋_GB2312"/>
        </w:rPr>
        <w:t>详见附件：03商务和技术响应偏离表.docx</w:t>
      </w:r>
    </w:p>
    <w:p>
      <w:pPr>
        <w:pStyle w:val="null3"/>
        <w:ind w:firstLine="960"/>
      </w:pPr>
      <w:r>
        <w:rPr>
          <w:rFonts w:ascii="仿宋_GB2312" w:hAnsi="仿宋_GB2312" w:cs="仿宋_GB2312" w:eastAsia="仿宋_GB2312"/>
        </w:rPr>
        <w:t>详见附件：04技术支持资料及实施方案.docx</w:t>
      </w:r>
    </w:p>
    <w:p>
      <w:pPr>
        <w:pStyle w:val="null3"/>
        <w:ind w:firstLine="960"/>
      </w:pPr>
      <w:r>
        <w:rPr>
          <w:rFonts w:ascii="仿宋_GB2312" w:hAnsi="仿宋_GB2312" w:cs="仿宋_GB2312" w:eastAsia="仿宋_GB2312"/>
        </w:rPr>
        <w:t>详见附件：05供应商认为有必要说明的其他问题及承诺书.docx</w:t>
      </w:r>
    </w:p>
    <w:p>
      <w:pPr>
        <w:pStyle w:val="null3"/>
        <w:ind w:firstLine="960"/>
      </w:pPr>
      <w:r>
        <w:rPr>
          <w:rFonts w:ascii="仿宋_GB2312" w:hAnsi="仿宋_GB2312" w:cs="仿宋_GB2312" w:eastAsia="仿宋_GB2312"/>
        </w:rPr>
        <w:t>详见附件：06供应商业绩一览表.docx</w:t>
      </w:r>
    </w:p>
    <w:p>
      <w:pPr>
        <w:pStyle w:val="null3"/>
        <w:ind w:firstLine="960"/>
      </w:pPr>
      <w:r>
        <w:rPr>
          <w:rFonts w:ascii="仿宋_GB2312" w:hAnsi="仿宋_GB2312" w:cs="仿宋_GB2312" w:eastAsia="仿宋_GB2312"/>
        </w:rPr>
        <w:t>详见附件：07投标保证金退还信息确认表.docx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