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版本号：SXZCZB2025-ZCGK-102920251201001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教学实践钢琴更新项目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SXZCZB2025-ZCGK-1029</w:t>
      </w:r>
      <w:r>
        <w:br/>
      </w:r>
      <w:r>
        <w:br/>
      </w:r>
      <w:r>
        <w:br/>
      </w:r>
    </w:p>
    <w:p>
      <w:pPr>
        <w:pStyle w:val="null3"/>
        <w:jc w:val="center"/>
        <w:outlineLvl w:val="2"/>
      </w:pPr>
      <w:r>
        <w:rPr>
          <w:rFonts w:ascii="仿宋_GB2312" w:hAnsi="仿宋_GB2312" w:cs="仿宋_GB2312" w:eastAsia="仿宋_GB2312"/>
          <w:sz w:val="28"/>
          <w:b/>
        </w:rPr>
        <w:t>咸阳师范学院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咸阳师范学院</w:t>
      </w:r>
      <w:r>
        <w:rPr>
          <w:rFonts w:ascii="仿宋_GB2312" w:hAnsi="仿宋_GB2312" w:cs="仿宋_GB2312" w:eastAsia="仿宋_GB2312"/>
        </w:rPr>
        <w:t>委托，拟对</w:t>
      </w:r>
      <w:r>
        <w:rPr>
          <w:rFonts w:ascii="仿宋_GB2312" w:hAnsi="仿宋_GB2312" w:cs="仿宋_GB2312" w:eastAsia="仿宋_GB2312"/>
        </w:rPr>
        <w:t>教学实践钢琴更新项目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SXZCZB2025-ZCGK-1029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教学实践钢琴更新项目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教学实践钢琴更新项目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2、法定代表人证明或法定代表人授权委托书：提供法定代表人授权书（附法定代表人、被授权人身份证复印件），法定代表人直接参加投标，须提供法定代表人身份证明及身份证复印件）；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审计状况：经会计事务所或审计机构出具的2024年度赋码财务审计报告，具有良好的商业信誉和健全的财务会计制度；财务审计报告须有注册会计师签字盖章和公司盖章，并附通过注册会计师行业统一监管平台（http://acc.mof.gov.cn）报备并相应取得全国统一的验证码提供查询截图，不足一年的提供成立以来的财务报表，至少包括资产负债表、利润表、现金流量表及基本账户银行出具的资信证明；</w:t>
      </w:r>
    </w:p>
    <w:p>
      <w:pPr>
        <w:pStyle w:val="null3"/>
      </w:pPr>
      <w:r>
        <w:rPr>
          <w:rFonts w:ascii="仿宋_GB2312" w:hAnsi="仿宋_GB2312" w:cs="仿宋_GB2312" w:eastAsia="仿宋_GB2312"/>
        </w:rPr>
        <w:t>6、相关主体信用记录：供应商通过“信用中国”网站(www.creditchina.gov.cn)、中国政府采购网(www.ccgp.gov.cn )等查询相关主体信用记录；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9、本项目不接受联合体投标：本项目不接受联合体投标（提供承诺书）；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咸阳师范学院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02933720069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说明：合同签订前，成交商须以公对公转账方式，向采购人缴纳项目履约保证金，金额为合同总金额的5%（取整）。项目验收合格后，采购人一次性无息返还。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和改革委办公厅关于招标代理服务收费有关问题的通知》（发改价格[2003]857号）”、“国家发展和改革委《关于降低部分建设项目收费标准规范收费行为等有关问题的通知》（发改价格[2011]534号）”的规定方式下浮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咸阳师范学院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咸阳师范学院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咸阳师范学院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咸阳师范学院教学实践钢琴更新项目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501,000.00</w:t>
      </w:r>
    </w:p>
    <w:p>
      <w:pPr>
        <w:pStyle w:val="null3"/>
      </w:pPr>
      <w:r>
        <w:rPr>
          <w:rFonts w:ascii="仿宋_GB2312" w:hAnsi="仿宋_GB2312" w:cs="仿宋_GB2312" w:eastAsia="仿宋_GB2312"/>
        </w:rPr>
        <w:t>采购包最高限价（元）: 501,000.00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教学用立式钢琴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标的名称：教学用立式钢琴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b/>
              </w:rPr>
              <w:t>技术要求</w:t>
            </w:r>
          </w:p>
          <w:tbl>
            <w:tblPr>
              <w:tblBorders>
                <w:top w:val="none" w:color="000000" w:sz="4"/>
                <w:left w:val="none" w:color="000000" w:sz="4"/>
                <w:bottom w:val="none" w:color="000000" w:sz="4"/>
                <w:right w:val="none" w:color="000000" w:sz="4"/>
                <w:insideH w:val="none"/>
                <w:insideV w:val="none"/>
              </w:tblBorders>
            </w:tblPr>
            <w:tblGrid>
              <w:gridCol w:w="205"/>
              <w:gridCol w:w="218"/>
              <w:gridCol w:w="1782"/>
              <w:gridCol w:w="183"/>
              <w:gridCol w:w="165"/>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技术指标要求</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钢琴</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产品规格：不低于</w:t>
                  </w:r>
                  <w:r>
                    <w:rPr>
                      <w:rFonts w:ascii="仿宋_GB2312" w:hAnsi="仿宋_GB2312" w:cs="仿宋_GB2312" w:eastAsia="仿宋_GB2312"/>
                      <w:sz w:val="24"/>
                    </w:rPr>
                    <w:t>12</w:t>
                  </w:r>
                  <w:r>
                    <w:rPr>
                      <w:rFonts w:ascii="仿宋_GB2312" w:hAnsi="仿宋_GB2312" w:cs="仿宋_GB2312" w:eastAsia="仿宋_GB2312"/>
                      <w:sz w:val="24"/>
                    </w:rPr>
                    <w:t>0</w:t>
                  </w:r>
                  <w:r>
                    <w:rPr>
                      <w:rFonts w:ascii="仿宋_GB2312" w:hAnsi="仿宋_GB2312" w:cs="仿宋_GB2312" w:eastAsia="仿宋_GB2312"/>
                      <w:sz w:val="24"/>
                    </w:rPr>
                    <w:t>型立式钢琴</w:t>
                  </w:r>
                  <w:r>
                    <w:rPr>
                      <w:rFonts w:ascii="仿宋_GB2312" w:hAnsi="仿宋_GB2312" w:cs="仿宋_GB2312" w:eastAsia="仿宋_GB2312"/>
                      <w:sz w:val="24"/>
                    </w:rPr>
                    <w:t>。</w:t>
                  </w:r>
                  <w:r>
                    <w:rPr>
                      <w:rFonts w:ascii="仿宋_GB2312" w:hAnsi="仿宋_GB2312" w:cs="仿宋_GB2312" w:eastAsia="仿宋_GB2312"/>
                      <w:sz w:val="24"/>
                    </w:rPr>
                    <w:t>外观尺寸：长</w:t>
                  </w:r>
                  <w:r>
                    <w:rPr>
                      <w:rFonts w:ascii="仿宋_GB2312" w:hAnsi="仿宋_GB2312" w:cs="仿宋_GB2312" w:eastAsia="仿宋_GB2312"/>
                      <w:sz w:val="24"/>
                    </w:rPr>
                    <w:t>≥150cm、宽≥</w:t>
                  </w:r>
                  <w:r>
                    <w:rPr>
                      <w:rFonts w:ascii="仿宋_GB2312" w:hAnsi="仿宋_GB2312" w:cs="仿宋_GB2312" w:eastAsia="仿宋_GB2312"/>
                      <w:sz w:val="24"/>
                    </w:rPr>
                    <w:t>586</w:t>
                  </w:r>
                  <w:r>
                    <w:rPr>
                      <w:rFonts w:ascii="仿宋_GB2312" w:hAnsi="仿宋_GB2312" w:cs="仿宋_GB2312" w:eastAsia="仿宋_GB2312"/>
                      <w:sz w:val="24"/>
                    </w:rPr>
                    <w:t>cm、高≥12</w:t>
                  </w:r>
                  <w:r>
                    <w:rPr>
                      <w:rFonts w:ascii="仿宋_GB2312" w:hAnsi="仿宋_GB2312" w:cs="仿宋_GB2312" w:eastAsia="仿宋_GB2312"/>
                      <w:sz w:val="24"/>
                    </w:rPr>
                    <w:t>0</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外壳：高亮光黑色，采用环保材料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▲五金件：钢琴外观可见的五金件采用</w:t>
                  </w:r>
                  <w:r>
                    <w:rPr>
                      <w:rFonts w:ascii="仿宋_GB2312" w:hAnsi="仿宋_GB2312" w:cs="仿宋_GB2312" w:eastAsia="仿宋_GB2312"/>
                      <w:sz w:val="24"/>
                    </w:rPr>
                    <w:t>不</w:t>
                  </w:r>
                  <w:r>
                    <w:rPr>
                      <w:rFonts w:ascii="仿宋_GB2312" w:hAnsi="仿宋_GB2312" w:cs="仿宋_GB2312" w:eastAsia="仿宋_GB2312"/>
                      <w:sz w:val="24"/>
                    </w:rPr>
                    <w:t>易氧化的金属；合页、轮脚、踏板，耐腐蚀程度需达到</w:t>
                  </w:r>
                  <w:r>
                    <w:rPr>
                      <w:rFonts w:ascii="仿宋_GB2312" w:hAnsi="仿宋_GB2312" w:cs="仿宋_GB2312" w:eastAsia="仿宋_GB2312"/>
                      <w:sz w:val="24"/>
                    </w:rPr>
                    <w:t xml:space="preserve"> 10 级（需提供第三方检测报告加盖公章</w:t>
                  </w:r>
                  <w:r>
                    <w:rPr>
                      <w:rFonts w:ascii="仿宋_GB2312" w:hAnsi="仿宋_GB2312" w:cs="仿宋_GB2312" w:eastAsia="仿宋_GB2312"/>
                      <w:sz w:val="24"/>
                    </w:rPr>
                    <w:t>佐证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3.铁板：</w:t>
                  </w:r>
                  <w:r>
                    <w:rPr>
                      <w:rFonts w:ascii="仿宋_GB2312" w:hAnsi="仿宋_GB2312" w:cs="仿宋_GB2312" w:eastAsia="仿宋_GB2312"/>
                      <w:sz w:val="24"/>
                    </w:rPr>
                    <w:t>真空</w:t>
                  </w:r>
                  <w:r>
                    <w:rPr>
                      <w:rFonts w:ascii="仿宋_GB2312" w:hAnsi="仿宋_GB2312" w:cs="仿宋_GB2312" w:eastAsia="仿宋_GB2312"/>
                      <w:sz w:val="24"/>
                    </w:rPr>
                    <w:t>铸铁板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琴弦：圆形弦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弦码：采用优质实木制作，悬浮式码桥，无金属螺丝固定。</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弦轴板：由多层坚硬的榉木交错拼接而成。</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击弦系统：联动器顶杆使用 ABS 材制。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中盘：实木制作，不加装除螺丝外的金属加固或金属链接结构。</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缓降功能：安装在钢琴侧臂内的隐藏式缓降器，非外露摆杆式。</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脚轮：采用金属双脚轮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11.键盘制作标准：亮光黑键，键盘呢毡采用优质呢毡，键板采用不易变形的实木或实木层积制作，中座板采用硬木。</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背柱：不少于</w:t>
                  </w:r>
                  <w:r>
                    <w:rPr>
                      <w:rFonts w:ascii="仿宋_GB2312" w:hAnsi="仿宋_GB2312" w:cs="仿宋_GB2312" w:eastAsia="仿宋_GB2312"/>
                      <w:sz w:val="24"/>
                    </w:rPr>
                    <w:t>4</w:t>
                  </w:r>
                  <w:r>
                    <w:rPr>
                      <w:rFonts w:ascii="仿宋_GB2312" w:hAnsi="仿宋_GB2312" w:cs="仿宋_GB2312" w:eastAsia="仿宋_GB2312"/>
                      <w:sz w:val="24"/>
                    </w:rPr>
                    <w:t>根实木背柱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▲执行标准：符合《钢琴》GB/T10159-2023 标准。</w:t>
                  </w:r>
                  <w:r>
                    <w:rPr>
                      <w:rFonts w:ascii="仿宋_GB2312" w:hAnsi="仿宋_GB2312" w:cs="仿宋_GB2312" w:eastAsia="仿宋_GB2312"/>
                      <w:sz w:val="24"/>
                    </w:rPr>
                    <w:t>乐器挥发有害物质限量符合</w:t>
                  </w:r>
                  <w:r>
                    <w:rPr>
                      <w:rFonts w:ascii="仿宋_GB2312" w:hAnsi="仿宋_GB2312" w:cs="仿宋_GB2312" w:eastAsia="仿宋_GB2312"/>
                      <w:sz w:val="24"/>
                    </w:rPr>
                    <w:t>GB</w:t>
                  </w:r>
                  <w:r>
                    <w:rPr>
                      <w:rFonts w:ascii="仿宋_GB2312" w:hAnsi="仿宋_GB2312" w:cs="仿宋_GB2312" w:eastAsia="仿宋_GB2312"/>
                      <w:sz w:val="24"/>
                    </w:rPr>
                    <w:t xml:space="preserve"> </w:t>
                  </w:r>
                  <w:r>
                    <w:rPr>
                      <w:rFonts w:ascii="仿宋_GB2312" w:hAnsi="仿宋_GB2312" w:cs="仿宋_GB2312" w:eastAsia="仿宋_GB2312"/>
                      <w:sz w:val="24"/>
                    </w:rPr>
                    <w:t>28489</w:t>
                  </w:r>
                  <w:r>
                    <w:rPr>
                      <w:rFonts w:ascii="仿宋_GB2312" w:hAnsi="仿宋_GB2312" w:cs="仿宋_GB2312" w:eastAsia="仿宋_GB2312"/>
                      <w:sz w:val="24"/>
                    </w:rPr>
                    <w:t>-202</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标准。需提供有</w:t>
                  </w:r>
                  <w:r>
                    <w:rPr>
                      <w:rFonts w:ascii="仿宋_GB2312" w:hAnsi="仿宋_GB2312" w:cs="仿宋_GB2312" w:eastAsia="仿宋_GB2312"/>
                      <w:sz w:val="24"/>
                    </w:rPr>
                    <w:t>CMA资质认定的检验检测机构出具的检测报告复印件加盖制造商鲜章佐证。</w:t>
                  </w:r>
                </w:p>
                <w:p>
                  <w:pPr>
                    <w:pStyle w:val="null3"/>
                    <w:jc w:val="both"/>
                  </w:pPr>
                  <w:r>
                    <w:rPr>
                      <w:rFonts w:ascii="仿宋_GB2312" w:hAnsi="仿宋_GB2312" w:cs="仿宋_GB2312" w:eastAsia="仿宋_GB2312"/>
                      <w:sz w:val="24"/>
                    </w:rPr>
                    <w:t>14.配置原厂琴凳和琴罩。</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bl>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”内容项为实质性条款，未响应、有缺漏将被视为无效投标；</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”内容项为重要要求，投标人未达到这些要求或未响应将影响评分</w:t>
            </w:r>
          </w:p>
          <w:p>
            <w:pPr>
              <w:pStyle w:val="null3"/>
              <w:ind w:firstLine="562"/>
              <w:jc w:val="both"/>
            </w:pPr>
            <w:r>
              <w:rPr>
                <w:rFonts w:ascii="仿宋_GB2312" w:hAnsi="仿宋_GB2312" w:cs="仿宋_GB2312" w:eastAsia="仿宋_GB2312"/>
                <w:sz w:val="28"/>
                <w:b/>
              </w:rPr>
              <w:t>三、商务要求</w:t>
            </w:r>
          </w:p>
          <w:p>
            <w:pPr>
              <w:pStyle w:val="null3"/>
              <w:ind w:firstLine="560"/>
              <w:jc w:val="both"/>
            </w:pPr>
            <w:r>
              <w:rPr>
                <w:rFonts w:ascii="仿宋_GB2312" w:hAnsi="仿宋_GB2312" w:cs="仿宋_GB2312" w:eastAsia="仿宋_GB2312"/>
                <w:sz w:val="28"/>
              </w:rPr>
              <w:t>（一）交货期：</w:t>
            </w:r>
            <w:r>
              <w:rPr>
                <w:rFonts w:ascii="仿宋_GB2312" w:hAnsi="仿宋_GB2312" w:cs="仿宋_GB2312" w:eastAsia="仿宋_GB2312"/>
                <w:sz w:val="28"/>
              </w:rPr>
              <w:t>30天。</w:t>
            </w:r>
          </w:p>
          <w:p>
            <w:pPr>
              <w:pStyle w:val="null3"/>
              <w:ind w:firstLine="560"/>
              <w:jc w:val="both"/>
            </w:pPr>
            <w:r>
              <w:rPr>
                <w:rFonts w:ascii="仿宋_GB2312" w:hAnsi="仿宋_GB2312" w:cs="仿宋_GB2312" w:eastAsia="仿宋_GB2312"/>
                <w:sz w:val="28"/>
              </w:rPr>
              <w:t>（二）地点：咸阳师范学院渭城校区指定地点。</w:t>
            </w:r>
          </w:p>
          <w:p>
            <w:pPr>
              <w:pStyle w:val="null3"/>
              <w:ind w:firstLine="560"/>
              <w:jc w:val="both"/>
            </w:pPr>
            <w:r>
              <w:rPr>
                <w:rFonts w:ascii="仿宋_GB2312" w:hAnsi="仿宋_GB2312" w:cs="仿宋_GB2312" w:eastAsia="仿宋_GB2312"/>
                <w:sz w:val="28"/>
              </w:rPr>
              <w:t>（三）供货渠道证明：提供合法来源渠道证明文件，包括但不限于销售协议或代理协议或原厂授权等。</w:t>
            </w:r>
          </w:p>
          <w:p>
            <w:pPr>
              <w:pStyle w:val="null3"/>
              <w:ind w:firstLine="560"/>
            </w:pPr>
            <w:r>
              <w:rPr>
                <w:rFonts w:ascii="仿宋_GB2312" w:hAnsi="仿宋_GB2312" w:cs="仿宋_GB2312" w:eastAsia="仿宋_GB2312"/>
                <w:sz w:val="28"/>
              </w:rPr>
              <w:t>（四）履约保证金的缴纳与退还</w:t>
            </w:r>
          </w:p>
          <w:p>
            <w:pPr>
              <w:pStyle w:val="null3"/>
              <w:ind w:firstLine="560"/>
              <w:jc w:val="both"/>
            </w:pPr>
            <w:r>
              <w:rPr>
                <w:rFonts w:ascii="仿宋_GB2312" w:hAnsi="仿宋_GB2312" w:cs="仿宋_GB2312" w:eastAsia="仿宋_GB2312"/>
                <w:sz w:val="28"/>
              </w:rPr>
              <w:t>合同签订前，成交商须以公对公转账方式，向采购人缴纳项目履约保证金，金额为合同总金额的</w:t>
            </w:r>
            <w:r>
              <w:rPr>
                <w:rFonts w:ascii="仿宋_GB2312" w:hAnsi="仿宋_GB2312" w:cs="仿宋_GB2312" w:eastAsia="仿宋_GB2312"/>
                <w:sz w:val="28"/>
              </w:rPr>
              <w:t>5%（取整）。项目验收合格后，采购人一次性无息返还。</w:t>
            </w:r>
          </w:p>
          <w:p>
            <w:pPr>
              <w:pStyle w:val="null3"/>
              <w:ind w:firstLine="560"/>
              <w:jc w:val="both"/>
            </w:pPr>
            <w:r>
              <w:rPr>
                <w:rFonts w:ascii="仿宋_GB2312" w:hAnsi="仿宋_GB2312" w:cs="仿宋_GB2312" w:eastAsia="仿宋_GB2312"/>
                <w:sz w:val="28"/>
              </w:rPr>
              <w:t>（五）付款时间、付款额度及付款方式</w:t>
            </w:r>
          </w:p>
          <w:p>
            <w:pPr>
              <w:pStyle w:val="null3"/>
              <w:ind w:firstLine="560"/>
              <w:jc w:val="both"/>
            </w:pPr>
            <w:r>
              <w:rPr>
                <w:rFonts w:ascii="仿宋_GB2312" w:hAnsi="仿宋_GB2312" w:cs="仿宋_GB2312" w:eastAsia="仿宋_GB2312"/>
                <w:sz w:val="28"/>
              </w:rPr>
              <w:t>1.若成交商为非中小企业，项目验收合格且成交商向采购人开具、交付与合同总金额等值的增值税专用发票后，采购人一次性支付合同总金额的100%。</w:t>
            </w:r>
          </w:p>
          <w:p>
            <w:pPr>
              <w:pStyle w:val="null3"/>
              <w:ind w:firstLine="560"/>
              <w:jc w:val="both"/>
            </w:pPr>
            <w:r>
              <w:rPr>
                <w:rFonts w:ascii="仿宋_GB2312" w:hAnsi="仿宋_GB2312" w:cs="仿宋_GB2312" w:eastAsia="仿宋_GB2312"/>
                <w:sz w:val="28"/>
              </w:rPr>
              <w:t>2.若成交商为中小企业，合同签订后，采购人预付合同总金额的4</w:t>
            </w:r>
            <w:r>
              <w:rPr>
                <w:rFonts w:ascii="仿宋_GB2312" w:hAnsi="仿宋_GB2312" w:cs="仿宋_GB2312" w:eastAsia="仿宋_GB2312"/>
                <w:sz w:val="28"/>
              </w:rPr>
              <w:t>0</w:t>
            </w:r>
            <w:r>
              <w:rPr>
                <w:rFonts w:ascii="仿宋_GB2312" w:hAnsi="仿宋_GB2312" w:cs="仿宋_GB2312" w:eastAsia="仿宋_GB2312"/>
                <w:sz w:val="28"/>
              </w:rPr>
              <w:t>%；项目验收合格且成交商向采购人开具、交付与合同总金额等值的增值税专用发票后，采购人一次性支付剩余货款（合同总金额的</w:t>
            </w:r>
            <w:r>
              <w:rPr>
                <w:rFonts w:ascii="仿宋_GB2312" w:hAnsi="仿宋_GB2312" w:cs="仿宋_GB2312" w:eastAsia="仿宋_GB2312"/>
                <w:sz w:val="28"/>
              </w:rPr>
              <w:t>60</w:t>
            </w:r>
            <w:r>
              <w:rPr>
                <w:rFonts w:ascii="仿宋_GB2312" w:hAnsi="仿宋_GB2312" w:cs="仿宋_GB2312" w:eastAsia="仿宋_GB2312"/>
                <w:sz w:val="28"/>
              </w:rPr>
              <w:t>%）。</w:t>
            </w:r>
          </w:p>
          <w:p>
            <w:pPr>
              <w:pStyle w:val="null3"/>
              <w:ind w:left="480"/>
              <w:jc w:val="both"/>
            </w:pPr>
            <w:r>
              <w:rPr>
                <w:rFonts w:ascii="仿宋_GB2312" w:hAnsi="仿宋_GB2312" w:cs="仿宋_GB2312" w:eastAsia="仿宋_GB2312"/>
                <w:sz w:val="28"/>
              </w:rPr>
              <w:t>（六）售后服务</w:t>
            </w:r>
          </w:p>
          <w:p>
            <w:pPr>
              <w:pStyle w:val="null3"/>
              <w:ind w:firstLine="560"/>
              <w:jc w:val="both"/>
            </w:pPr>
            <w:r>
              <w:rPr>
                <w:rFonts w:ascii="仿宋_GB2312" w:hAnsi="仿宋_GB2312" w:cs="仿宋_GB2312" w:eastAsia="仿宋_GB2312"/>
                <w:sz w:val="28"/>
              </w:rPr>
              <w:t>1.质保期伍年，质保期内，除人为因素损坏外，成交商对所供产品实行免费更换或免费维修，免费提供所有设备正常使用所需的备品备件，且成交商维修所更换的配件和备品备件均为原设备厂家生产。</w:t>
            </w:r>
          </w:p>
          <w:p>
            <w:pPr>
              <w:pStyle w:val="null3"/>
              <w:ind w:firstLine="560"/>
              <w:jc w:val="both"/>
            </w:pPr>
            <w:r>
              <w:rPr>
                <w:rFonts w:ascii="仿宋_GB2312" w:hAnsi="仿宋_GB2312" w:cs="仿宋_GB2312" w:eastAsia="仿宋_GB2312"/>
                <w:sz w:val="28"/>
              </w:rPr>
              <w:t>2.质保期内，成交商对所售设备免费提供7*24小时技术支持、不少于2次/年上门巡检等服务。</w:t>
            </w:r>
          </w:p>
          <w:p>
            <w:pPr>
              <w:pStyle w:val="null3"/>
              <w:ind w:firstLine="560"/>
              <w:jc w:val="both"/>
            </w:pPr>
            <w:r>
              <w:rPr>
                <w:rFonts w:ascii="仿宋_GB2312" w:hAnsi="仿宋_GB2312" w:cs="仿宋_GB2312" w:eastAsia="仿宋_GB2312"/>
                <w:sz w:val="28"/>
              </w:rPr>
              <w:t>3.质保期内，成交商接到采购人维修通知，应在工作日2小时内(非工作日4小时内）或与采购人约定时间内，派人现场处理；如经检测，无法在12小时内完成修复的，免费提供同档次或更高档次的配件，保证设备正常使用直至故障排除。</w:t>
            </w:r>
          </w:p>
          <w:p>
            <w:pPr>
              <w:pStyle w:val="null3"/>
              <w:ind w:firstLine="560"/>
              <w:jc w:val="both"/>
            </w:pPr>
            <w:r>
              <w:rPr>
                <w:rFonts w:ascii="仿宋_GB2312" w:hAnsi="仿宋_GB2312" w:cs="仿宋_GB2312" w:eastAsia="仿宋_GB2312"/>
                <w:sz w:val="28"/>
              </w:rPr>
              <w:t>4.质保期内，成交商未在规定或约定时间进行维修，造成采购人人身、财产损害时，采购人可依据有关法律、法规进行追偿；成交商不能及时到场，采购人可安排其他公司技术人员进行维修，期间产生的维修费用，由成交商支付给采购人；接到采购人维修通知后，成交商累计超过3次（不含3次）未在约定保修时间内进行维修时，成交商</w:t>
            </w:r>
            <w:r>
              <w:rPr>
                <w:rFonts w:ascii="仿宋_GB2312" w:hAnsi="仿宋_GB2312" w:cs="仿宋_GB2312" w:eastAsia="仿宋_GB2312"/>
                <w:sz w:val="28"/>
              </w:rPr>
              <w:t>向</w:t>
            </w:r>
            <w:r>
              <w:rPr>
                <w:rFonts w:ascii="仿宋_GB2312" w:hAnsi="仿宋_GB2312" w:cs="仿宋_GB2312" w:eastAsia="仿宋_GB2312"/>
                <w:sz w:val="28"/>
              </w:rPr>
              <w:t>采购人</w:t>
            </w:r>
            <w:r>
              <w:rPr>
                <w:rFonts w:ascii="仿宋_GB2312" w:hAnsi="仿宋_GB2312" w:cs="仿宋_GB2312" w:eastAsia="仿宋_GB2312"/>
                <w:sz w:val="28"/>
              </w:rPr>
              <w:t>支付的金额为本次维修费用的</w:t>
            </w:r>
            <w:r>
              <w:rPr>
                <w:rFonts w:ascii="仿宋_GB2312" w:hAnsi="仿宋_GB2312" w:cs="仿宋_GB2312" w:eastAsia="仿宋_GB2312"/>
                <w:sz w:val="28"/>
              </w:rPr>
              <w:t>2倍</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5.质保期内，出现产品非人为因素损坏而造成短期停用时，则质保期相应顺延，如停用时间累计超过20天，则质保期自产品修复之日起重新计算。</w:t>
            </w:r>
          </w:p>
          <w:p>
            <w:pPr>
              <w:pStyle w:val="null3"/>
              <w:ind w:firstLine="560"/>
              <w:jc w:val="both"/>
            </w:pPr>
            <w:r>
              <w:rPr>
                <w:rFonts w:ascii="仿宋_GB2312" w:hAnsi="仿宋_GB2312" w:cs="仿宋_GB2312" w:eastAsia="仿宋_GB2312"/>
                <w:sz w:val="28"/>
              </w:rPr>
              <w:t>6.质保到期前1月内，成交商须免费对所供设备进行一次全面维护保养服务。</w:t>
            </w:r>
          </w:p>
          <w:p>
            <w:pPr>
              <w:pStyle w:val="null3"/>
              <w:ind w:firstLine="562"/>
              <w:jc w:val="both"/>
            </w:pPr>
            <w:r>
              <w:rPr>
                <w:rFonts w:ascii="仿宋_GB2312" w:hAnsi="仿宋_GB2312" w:cs="仿宋_GB2312" w:eastAsia="仿宋_GB2312"/>
                <w:sz w:val="28"/>
                <w:b/>
              </w:rPr>
              <w:t>四、质量保证</w:t>
            </w:r>
          </w:p>
          <w:p>
            <w:pPr>
              <w:pStyle w:val="null3"/>
              <w:ind w:firstLine="560"/>
              <w:jc w:val="both"/>
            </w:pPr>
            <w:r>
              <w:rPr>
                <w:rFonts w:ascii="仿宋_GB2312" w:hAnsi="仿宋_GB2312" w:cs="仿宋_GB2312" w:eastAsia="仿宋_GB2312"/>
                <w:sz w:val="28"/>
              </w:rPr>
              <w:t>1.成交商须保证所供产品为制造商原厂生产的全新、未经使用并达到采购参数技术要求的产品；外观为未启封全新包装，序列号、包装箱号、出厂批号内外一致，并可追索查阅；供货产品的规格型号、数量与采购内容一致，技术参数与投标文件一致且技术参数符合采购人招标要求，否则，采购人有权向成交商退货，或者要求成交商进行更换，期间一切费用由成交商负责。</w:t>
            </w:r>
          </w:p>
          <w:p>
            <w:pPr>
              <w:pStyle w:val="null3"/>
              <w:ind w:firstLine="560"/>
              <w:jc w:val="both"/>
            </w:pPr>
            <w:r>
              <w:rPr>
                <w:rFonts w:ascii="仿宋_GB2312" w:hAnsi="仿宋_GB2312" w:cs="仿宋_GB2312" w:eastAsia="仿宋_GB2312"/>
                <w:sz w:val="28"/>
              </w:rPr>
              <w:t>2.安装调试：成交商应配合采购人的时限要求，负责在现场对产品进行安装、调试和试运行，直至验收合格。成交商应提供全部安装、调试过程中所需的材料、设施设备、人工等。</w:t>
            </w:r>
          </w:p>
          <w:p>
            <w:pPr>
              <w:pStyle w:val="null3"/>
              <w:ind w:firstLine="562"/>
              <w:jc w:val="both"/>
            </w:pPr>
            <w:r>
              <w:rPr>
                <w:rFonts w:ascii="仿宋_GB2312" w:hAnsi="仿宋_GB2312" w:cs="仿宋_GB2312" w:eastAsia="仿宋_GB2312"/>
                <w:sz w:val="28"/>
                <w:b/>
              </w:rPr>
              <w:t>五、项目要求</w:t>
            </w:r>
          </w:p>
          <w:p>
            <w:pPr>
              <w:pStyle w:val="null3"/>
              <w:ind w:firstLine="560"/>
              <w:jc w:val="both"/>
            </w:pPr>
            <w:r>
              <w:rPr>
                <w:rFonts w:ascii="仿宋_GB2312" w:hAnsi="仿宋_GB2312" w:cs="仿宋_GB2312" w:eastAsia="仿宋_GB2312"/>
                <w:sz w:val="28"/>
              </w:rPr>
              <w:t>在本次钢琴采购活动中，旨在获取高品质、功能完善的钢琴，满足音乐教学、演奏等场景的使用需求。为确保采购钢琴的质量与适用性，现从性能、材料、结构、外观、安全等维度，制定以下技术要求。</w:t>
            </w:r>
          </w:p>
          <w:p>
            <w:pPr>
              <w:pStyle w:val="null3"/>
              <w:ind w:firstLine="560"/>
              <w:jc w:val="both"/>
            </w:pPr>
            <w:r>
              <w:rPr>
                <w:rFonts w:ascii="仿宋_GB2312" w:hAnsi="仿宋_GB2312" w:cs="仿宋_GB2312" w:eastAsia="仿宋_GB2312"/>
                <w:sz w:val="28"/>
              </w:rPr>
              <w:t>音准稳定性：在正常使用与保养条件下，钢琴音准需具备出色的稳定性，每年音准偏差不超过</w:t>
            </w:r>
            <w:r>
              <w:rPr>
                <w:rFonts w:ascii="仿宋_GB2312" w:hAnsi="仿宋_GB2312" w:cs="仿宋_GB2312" w:eastAsia="仿宋_GB2312"/>
                <w:sz w:val="28"/>
              </w:rPr>
              <w:t>20 音分。新钢琴交付使用后的一周内，调音次数不得超过两次，后续半年内，调音次数不得超过三次。</w:t>
            </w:r>
          </w:p>
          <w:p>
            <w:pPr>
              <w:pStyle w:val="null3"/>
              <w:ind w:firstLine="560"/>
              <w:jc w:val="both"/>
            </w:pPr>
            <w:r>
              <w:rPr>
                <w:rFonts w:ascii="仿宋_GB2312" w:hAnsi="仿宋_GB2312" w:cs="仿宋_GB2312" w:eastAsia="仿宋_GB2312"/>
                <w:sz w:val="28"/>
              </w:rPr>
              <w:t>音色丰富度：钢琴应具备宽广且层次分明的音色，高音区音色需清澈明亮、穿透力强；中音区音色要圆润柔和、饱满扎实；低音区音色应浑厚深沉、富有共鸣。不同音区过渡自然，无明显音色突变。</w:t>
            </w:r>
          </w:p>
          <w:p>
            <w:pPr>
              <w:pStyle w:val="null3"/>
              <w:ind w:firstLine="560"/>
              <w:jc w:val="both"/>
            </w:pPr>
            <w:r>
              <w:rPr>
                <w:rFonts w:ascii="仿宋_GB2312" w:hAnsi="仿宋_GB2312" w:cs="仿宋_GB2312" w:eastAsia="仿宋_GB2312"/>
                <w:sz w:val="28"/>
              </w:rPr>
              <w:t>音色一致性：同一音区内，各琴键弹奏出的音色需保持高度一致，避免出现音色不均的情况。</w:t>
            </w:r>
          </w:p>
          <w:p>
            <w:pPr>
              <w:pStyle w:val="null3"/>
              <w:ind w:firstLine="560"/>
              <w:jc w:val="both"/>
            </w:pPr>
            <w:r>
              <w:rPr>
                <w:rFonts w:ascii="仿宋_GB2312" w:hAnsi="仿宋_GB2312" w:cs="仿宋_GB2312" w:eastAsia="仿宋_GB2312"/>
                <w:sz w:val="28"/>
              </w:rPr>
              <w:t>键盘配重：琴键下沉的力度应符合国际标准，触感需舒适均匀，让演奏者在演奏时能精准控制力度与速度，实现细腻的演奏表达。</w:t>
            </w:r>
          </w:p>
          <w:p>
            <w:pPr>
              <w:pStyle w:val="null3"/>
              <w:ind w:firstLine="560"/>
              <w:jc w:val="both"/>
            </w:pPr>
            <w:r>
              <w:rPr>
                <w:rFonts w:ascii="仿宋_GB2312" w:hAnsi="仿宋_GB2312" w:cs="仿宋_GB2312" w:eastAsia="仿宋_GB2312"/>
                <w:sz w:val="28"/>
              </w:rPr>
              <w:t>琴键反应速度：琴键反应需灵敏迅速，按下琴键后，制音器能立即抬起，琴弦开始振动发声；松开琴键时，制音器能迅速回落止住琴弦振动，琴键回位时间不得超过</w:t>
            </w:r>
            <w:r>
              <w:rPr>
                <w:rFonts w:ascii="仿宋_GB2312" w:hAnsi="仿宋_GB2312" w:cs="仿宋_GB2312" w:eastAsia="仿宋_GB2312"/>
                <w:sz w:val="28"/>
              </w:rPr>
              <w:t>0.2 秒，满足快速演奏的需求。</w:t>
            </w:r>
          </w:p>
          <w:p>
            <w:pPr>
              <w:pStyle w:val="null3"/>
              <w:ind w:firstLine="562"/>
              <w:jc w:val="both"/>
            </w:pPr>
            <w:r>
              <w:rPr>
                <w:rFonts w:ascii="仿宋_GB2312" w:hAnsi="仿宋_GB2312" w:cs="仿宋_GB2312" w:eastAsia="仿宋_GB2312"/>
                <w:sz w:val="28"/>
                <w:b/>
              </w:rPr>
              <w:t>六、必要说明</w:t>
            </w:r>
          </w:p>
          <w:p>
            <w:pPr>
              <w:pStyle w:val="null3"/>
              <w:ind w:firstLine="560"/>
              <w:jc w:val="both"/>
            </w:pPr>
            <w:r>
              <w:rPr>
                <w:rFonts w:ascii="仿宋_GB2312" w:hAnsi="仿宋_GB2312" w:cs="仿宋_GB2312" w:eastAsia="仿宋_GB2312"/>
                <w:sz w:val="28"/>
              </w:rPr>
              <w:t>1.结构要求</w:t>
            </w:r>
          </w:p>
          <w:p>
            <w:pPr>
              <w:pStyle w:val="null3"/>
              <w:ind w:firstLine="560"/>
              <w:jc w:val="both"/>
            </w:pPr>
            <w:r>
              <w:rPr>
                <w:rFonts w:ascii="仿宋_GB2312" w:hAnsi="仿宋_GB2312" w:cs="仿宋_GB2312" w:eastAsia="仿宋_GB2312"/>
                <w:sz w:val="28"/>
              </w:rPr>
              <w:t>整体结构：钢琴的整体结构需稳固耐用，能承受琴弦强大的拉力。采用框架式结构，使用高强度的实木框架，结合先进的榫卯工艺或优质五金连接件进行组装，确保钢琴在长期使用过程中不变形、不开裂。</w:t>
            </w:r>
          </w:p>
          <w:p>
            <w:pPr>
              <w:pStyle w:val="null3"/>
              <w:ind w:firstLine="560"/>
              <w:jc w:val="both"/>
            </w:pPr>
            <w:r>
              <w:rPr>
                <w:rFonts w:ascii="仿宋_GB2312" w:hAnsi="仿宋_GB2312" w:cs="仿宋_GB2312" w:eastAsia="仿宋_GB2312"/>
                <w:sz w:val="28"/>
              </w:rPr>
              <w:t>弦列设计：合理的弦列设计能提升钢琴的声学性能。采用交叉弦列设计，增加琴弦的有效振动长度，拓宽音域，使音色更加丰富。同时，弦枕、弦码等部件的设计与安装需精准无误，保证琴弦振动的顺畅。</w:t>
            </w:r>
          </w:p>
          <w:p>
            <w:pPr>
              <w:pStyle w:val="null3"/>
              <w:ind w:firstLine="560"/>
              <w:jc w:val="both"/>
            </w:pPr>
            <w:r>
              <w:rPr>
                <w:rFonts w:ascii="仿宋_GB2312" w:hAnsi="仿宋_GB2312" w:cs="仿宋_GB2312" w:eastAsia="仿宋_GB2312"/>
                <w:sz w:val="28"/>
              </w:rPr>
              <w:t>2.外观要求</w:t>
            </w:r>
          </w:p>
          <w:p>
            <w:pPr>
              <w:pStyle w:val="null3"/>
              <w:ind w:firstLine="560"/>
              <w:jc w:val="both"/>
            </w:pPr>
            <w:r>
              <w:rPr>
                <w:rFonts w:ascii="仿宋_GB2312" w:hAnsi="仿宋_GB2312" w:cs="仿宋_GB2312" w:eastAsia="仿宋_GB2312"/>
                <w:sz w:val="28"/>
              </w:rPr>
              <w:t>漆面工艺：钢琴表面采用优质的不饱和聚酯漆或硝基漆进行涂装，漆面需光滑平整、色泽均匀，无流痕、气泡、颗粒等瑕疵。漆面硬度达到</w:t>
            </w:r>
            <w:r>
              <w:rPr>
                <w:rFonts w:ascii="仿宋_GB2312" w:hAnsi="仿宋_GB2312" w:cs="仿宋_GB2312" w:eastAsia="仿宋_GB2312"/>
                <w:sz w:val="28"/>
              </w:rPr>
              <w:t>3H 以上，具备良好的耐磨性与耐腐蚀性，能有效抵御日常使用中的刮擦与碰撞。</w:t>
            </w:r>
          </w:p>
          <w:p>
            <w:pPr>
              <w:pStyle w:val="null3"/>
              <w:ind w:firstLine="560"/>
              <w:jc w:val="both"/>
            </w:pPr>
            <w:r>
              <w:rPr>
                <w:rFonts w:ascii="仿宋_GB2312" w:hAnsi="仿宋_GB2312" w:cs="仿宋_GB2312" w:eastAsia="仿宋_GB2312"/>
                <w:sz w:val="28"/>
              </w:rPr>
              <w:t>造型设计：钢琴的造型需简约大方、线条流畅，符合现代审美标准。颜色以经典的黑色、白色为主，同时可根据客户需求，提供其他颜色选择。琴身装饰需精致细腻，展现钢琴的高品质与艺术感。</w:t>
            </w:r>
          </w:p>
          <w:p>
            <w:pPr>
              <w:pStyle w:val="null3"/>
              <w:ind w:firstLine="560"/>
              <w:jc w:val="both"/>
            </w:pPr>
            <w:r>
              <w:rPr>
                <w:rFonts w:ascii="仿宋_GB2312" w:hAnsi="仿宋_GB2312" w:cs="仿宋_GB2312" w:eastAsia="仿宋_GB2312"/>
                <w:sz w:val="28"/>
              </w:rPr>
              <w:t>3.安全要求</w:t>
            </w:r>
          </w:p>
          <w:p>
            <w:pPr>
              <w:pStyle w:val="null3"/>
              <w:ind w:firstLine="560"/>
              <w:jc w:val="both"/>
            </w:pPr>
            <w:r>
              <w:rPr>
                <w:rFonts w:ascii="仿宋_GB2312" w:hAnsi="仿宋_GB2312" w:cs="仿宋_GB2312" w:eastAsia="仿宋_GB2312"/>
                <w:sz w:val="28"/>
              </w:rPr>
              <w:t>机械安全：钢琴的机械部件需安装牢固，无松动、脱落的风险。琴盖需配备可靠的缓降装置，防止琴盖突然落下，对使用者造成伤害。</w:t>
            </w:r>
          </w:p>
          <w:p>
            <w:pPr>
              <w:pStyle w:val="null3"/>
              <w:jc w:val="both"/>
            </w:pPr>
            <w:r>
              <w:rPr>
                <w:rFonts w:ascii="仿宋_GB2312" w:hAnsi="仿宋_GB2312" w:cs="仿宋_GB2312" w:eastAsia="仿宋_GB2312"/>
                <w:sz w:val="28"/>
              </w:rPr>
              <w:t>环保安全：钢琴所使用的材料需符合国家环保标准，甲醛、苯等有害物质的释放量需控制在规定范围内，避免对使用者的健康造成危害。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咸阳师范学院渭城校区指定地点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1.若成交商为非中小企业，项目验收合格且成交商向采购人开具、交付与合同总金额等值的增值税专用发票后，采购人一次性支付合同总金额的100%。 2.若成交商为中小企业，合同签订后，采购人预付合同总金额的40%；项目验收合格且成交商向采购人开具、交付与合同总金额等值的增值税专用发票后，采购人一次性支付剩余货款（合同总金额的60%）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财务审计状况</w:t>
            </w:r>
          </w:p>
        </w:tc>
        <w:tc>
          <w:tcPr>
            <w:tcW w:type="dxa" w:w="3322"/>
          </w:tcPr>
          <w:p>
            <w:pPr>
              <w:pStyle w:val="null3"/>
            </w:pPr>
            <w:r>
              <w:rPr>
                <w:rFonts w:ascii="仿宋_GB2312" w:hAnsi="仿宋_GB2312" w:cs="仿宋_GB2312" w:eastAsia="仿宋_GB2312"/>
              </w:rPr>
              <w:t>经会计事务所或审计机构出具的2024年度赋码财务审计报告，具有良好的商业信誉和健全的财务会计制度；财务审计报告须有注册会计师签字盖章和公司盖章，并附通过注册会计师行业统一监管平台（http://acc.mof.gov.cn）报备并相应取得全国统一的验证码提供查询截图，不足一年的提供成立以来的财务报表，至少包括资产负债表、利润表、现金流量表及基本账户银行出具的资信证明；</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投标人应提交的相关资格证明材料.docx 产品技术参数表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招标文件设备清单里所有参数要求，得20分。①技术参数表中“★”项，为实质性条款，投标人未响应、有缺漏将被视为无效投标；②技术参数表中“▲"号参数为重要技术指标，每负偏离一项扣1分。③不加符号的参数每负偏离一项扣0.5分；扣完为止。 注：1. 产品需提供相应的证明材料（包括但不限于：产品技术白皮书、使用说明书、生产厂商公开发布的产品彩页、制造商承诺书、检测报告等相关证明材料作为技术条款的证明文件，检测报告必须为具有国家相关资质的质量检测部门出具的检测报告）。 2.投标人自行承担因提供相关证明材料不足而导致被视为参数负偏离的风险。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评标委员会根据投标人提供的钢琴供货渠道说明（包括但不限于授权、销售协议、代理协议等），证明材料充分完整得5分，基本完整得3分，资料欠缺得1分，未提供得0分；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一、供应商提供具体完善的实施方案，包括但不限于：①供货方案；②运输、包装方案；③安装、调试方案；④质量保障方案；⑤进度保障方案；并按照以下标准评审：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三、赋分标准（满分15分） ①供货方案：每满足一个评审标准得1分，不满足得0分，满分3分； ②运输、包装方案：每满足一个评审标准得1分，不满足得0分，满分3分； ③安装、调试方案：每满足一个评审标准得1分，不满足得0分，满分3分； ④质量保障方案：每满足一个评审标准得1分，不满足得0分，满分3分； ⑤进度保障方案：每满足一个评审标准得1分，不满足得0分，满分3分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供应商针对本项目配备的人员团队，包括但不限于人员配备、团队组织机构、职能分工、专业经验等。 （1）人员配备数量满足本项目要求或能够保障本项目的实施的得2分，基本满足得1分，未提供或不满足不得分。 （2）提供团队人员详细信息（清单内容应包含：人员姓名、年龄、学历、专业技能、工作经验等）得2分，不提供或缺项不得分； （3）团队组织架构及职能分工科学合理得1分；团队组织架构及职能分工不够合理清晰得0.5分，不提供或缺项不得分。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一、供应商针对本项目提供详细培训方案，包括但不限于①培训方式②培训周期③培训数量④培训范围及内容；并按以下标准评审： 二、评审标准 1、完整性：方案必须全面，对评审内容中的各项要求有详细描述； 2、可实施性：切合本项目实际情况，提出步骤清晰、合理的方案； 3、针对性：方案能够紧扣项目实际情况，内容科学合理。 三、赋分标准（满分6分） ①培训方式：每满足一个评审标准得0.5分，不满足得0分，满分1.5分； ②培训周期：每满足一个评审标准得0.5分，不满足得0分，满分1.5分； ③培训数量：每满足一个评审标准得0.5分，不满足得0分，满分1.5分； ④培训范围及内容：每满足一个评审标准得0.5分，不满足得0分，满分1.5分；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一、供应商针对本项目提供详细售后服务方案，包括但不限于①售后服务范围及保障措施②售后服务流程③售后服务响应时间及响应方式；并按以下标准评审：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①售后服务范围及保障措施：每满足一个评审标准得1分，不满足得0分，满分3分； ②售后服务流程：每满足一个评审标准得1分，不满足得0分，满分3分； ③售后服务响应时间及响应方式：每满足一个评审标准得1分，不满足得0分，满分3分。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 2022 年 1 月至今同类项目合同业绩（以合同签订日期为准，业绩合同中至少包含 1 项与本次采购内容相关的产品），每提供 1 个得 2分，最高得 10 分。注：同类项目业绩由供货合同、联系方式、联系人及结算的发票复印件组成，未提供或不全的不得分。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价为评标基准价，其价格分为满分。其他投标人的价格分统一按照下列公式计算：价格分=(评标基准价／投标价)×报价分值计算分数时四舍五入取小数点后两位；备注：对小型、微型企业的价格给予 10%的扣除，用扣除后的价格参与评审，其评标价=投标报价*（1-10%）。监狱企业、残疾人福利性单位视同小型、微型企业，享受预留份额、评审中价格扣除等政府采购促进中小企业发展的政府采购政策。对残疾人福利性单位产品的价格给予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详见附件：拟签订合同-教学实践钢琴更新项目.docx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