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版本号：ZX2025-10-15.20251020001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矢量信号发生器采购项目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ZX2025-10-15.</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矢量信号发生器采购项目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ZX2025-10-15.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矢量信号发生器采购项目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矢量信号发生器采购项目，1项，具体详见采购文件第三章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1、法定代表人授权委托书：法定代表人参加谈判的，须提供身份证；法定代表人授权本单位他人参加谈判的，须提供法定代表人授权委托书。</w:t>
      </w:r>
    </w:p>
    <w:p>
      <w:pPr>
        <w:pStyle w:val="null3"/>
      </w:pPr>
      <w:r>
        <w:rPr>
          <w:rFonts w:ascii="仿宋_GB2312" w:hAnsi="仿宋_GB2312" w:cs="仿宋_GB2312" w:eastAsia="仿宋_GB2312"/>
        </w:rPr>
        <w:t>2、不接受联合体谈判，不允许分包：本项目不接受联合体谈判，不允许分包。供应商应提供《非联合体不分包投标声明》。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祁鑫 曹婷 马演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采购包1保证金金额：19,101.50元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说明：1、履约保证金待合同履约完毕后无息退还。2、缴纳履约保证金时须注明项目编号及用途(履约保证金)。3、逾期退还履约保证金的违约责任:按采购人内控制度执行。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若成交金额在50万元以内，参照国家计委关于印发《招标代理服务收费管理暂行办法的通知》(计价格[2002]1980号)的收费标准收取；若成交金额在50万元及以上，参照国家计委关于印发《采购代理服务收费管理暂行办法的通知》(计价格[2002]1980号)规定的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祁鑫</w:t>
      </w:r>
    </w:p>
    <w:p>
      <w:pPr>
        <w:pStyle w:val="null3"/>
      </w:pPr>
      <w:r>
        <w:rPr>
          <w:rFonts w:ascii="仿宋_GB2312" w:hAnsi="仿宋_GB2312" w:cs="仿宋_GB2312" w:eastAsia="仿宋_GB2312"/>
        </w:rPr>
        <w:t>联系电话：029-88110800转8032（邮箱438904813@qq.com）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矢量信号发生器采购项目，具体详见采购文件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1,020,000.00</w:t>
      </w:r>
    </w:p>
    <w:p>
      <w:pPr>
        <w:pStyle w:val="null3"/>
      </w:pPr>
      <w:r>
        <w:rPr>
          <w:rFonts w:ascii="仿宋_GB2312" w:hAnsi="仿宋_GB2312" w:cs="仿宋_GB2312" w:eastAsia="仿宋_GB2312"/>
        </w:rPr>
        <w:t>采购包最高限价（元）: 1,020,000.00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矢量信号发生器采购项目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标的名称：矢量信号发生器采购项目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产品名称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备注</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矢量信号发生器</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1套</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核心产品</w:t>
                  </w:r>
                </w:p>
              </w:tc>
            </w:tr>
          </w:tbl>
          <w:p>
            <w:pPr>
              <w:pStyle w:val="null3"/>
            </w:pPr>
            <w:r>
              <w:rPr>
                <w:rFonts w:ascii="仿宋_GB2312" w:hAnsi="仿宋_GB2312" w:cs="仿宋_GB2312" w:eastAsia="仿宋_GB2312"/>
              </w:rPr>
              <w:t>二、参数要求</w:t>
            </w:r>
          </w:p>
          <w:p>
            <w:pPr>
              <w:pStyle w:val="null3"/>
            </w:pPr>
            <w:r>
              <w:rPr>
                <w:rFonts w:ascii="仿宋_GB2312" w:hAnsi="仿宋_GB2312" w:cs="仿宋_GB2312" w:eastAsia="仿宋_GB2312"/>
              </w:rPr>
              <w:t>（一）主要技术参数</w:t>
            </w:r>
          </w:p>
          <w:p>
            <w:pPr>
              <w:pStyle w:val="null3"/>
            </w:pPr>
            <w:r>
              <w:rPr>
                <w:rFonts w:ascii="仿宋_GB2312" w:hAnsi="仿宋_GB2312" w:cs="仿宋_GB2312" w:eastAsia="仿宋_GB2312"/>
              </w:rPr>
              <w:t>（注：所有技术参数均须满足要求，</w:t>
            </w:r>
            <w:r>
              <w:rPr>
                <w:rFonts w:ascii="仿宋_GB2312" w:hAnsi="仿宋_GB2312" w:cs="仿宋_GB2312" w:eastAsia="仿宋_GB2312"/>
              </w:rPr>
              <w:t>★技术参数必须提供佐证材料（包括但不限于产品彩页、厂家盖章出具的技术白皮书、官网截图等），不满足或未提供佐证材料视为负偏离，按无效文件处理。）</w:t>
            </w:r>
          </w:p>
          <w:p>
            <w:pPr>
              <w:pStyle w:val="null3"/>
            </w:pPr>
            <w:r>
              <w:rPr>
                <w:rFonts w:ascii="仿宋_GB2312" w:hAnsi="仿宋_GB2312" w:cs="仿宋_GB2312" w:eastAsia="仿宋_GB2312"/>
              </w:rPr>
              <w:t>（二）技术参数</w:t>
            </w:r>
          </w:p>
          <w:tbl>
            <w:tblPr>
              <w:tblInd w:type="dxa" w:w="120"/>
              <w:tblBorders>
                <w:top w:val="none" w:color="000000" w:sz="4"/>
                <w:left w:val="none" w:color="000000" w:sz="4"/>
                <w:bottom w:val="none" w:color="000000" w:sz="4"/>
                <w:right w:val="none" w:color="000000" w:sz="4"/>
                <w:insideH w:val="none"/>
                <w:insideV w:val="none"/>
              </w:tblBorders>
            </w:tblPr>
            <w:tblGrid>
              <w:gridCol w:w="246"/>
              <w:gridCol w:w="430"/>
              <w:gridCol w:w="1875"/>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产品名称</w:t>
                  </w:r>
                </w:p>
              </w:tc>
              <w:tc>
                <w:tcPr>
                  <w:tcW w:type="dxa" w:w="18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技术标准</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矢量信号发生器</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 射频频率输出范围：100kHz ～ 50GHz；</w:t>
                  </w:r>
                </w:p>
                <w:p>
                  <w:pPr>
                    <w:pStyle w:val="null3"/>
                  </w:pPr>
                  <w:r>
                    <w:rPr>
                      <w:rFonts w:ascii="仿宋_GB2312" w:hAnsi="仿宋_GB2312" w:cs="仿宋_GB2312" w:eastAsia="仿宋_GB2312"/>
                      <w:sz w:val="19"/>
                    </w:rPr>
                    <w:t>2、频率分辨率：</w:t>
                  </w:r>
                  <w:r>
                    <w:rPr>
                      <w:rFonts w:ascii="仿宋_GB2312" w:hAnsi="仿宋_GB2312" w:cs="仿宋_GB2312" w:eastAsia="仿宋_GB2312"/>
                      <w:sz w:val="19"/>
                    </w:rPr>
                    <w:t>≤</w:t>
                  </w:r>
                  <w:r>
                    <w:rPr>
                      <w:rFonts w:ascii="仿宋_GB2312" w:hAnsi="仿宋_GB2312" w:cs="仿宋_GB2312" w:eastAsia="仿宋_GB2312"/>
                      <w:sz w:val="19"/>
                    </w:rPr>
                    <w:t>0.001Hz；</w:t>
                  </w:r>
                </w:p>
                <w:p>
                  <w:pPr>
                    <w:pStyle w:val="null3"/>
                  </w:pPr>
                  <w:r>
                    <w:rPr>
                      <w:rFonts w:ascii="仿宋_GB2312" w:hAnsi="仿宋_GB2312" w:cs="仿宋_GB2312" w:eastAsia="仿宋_GB2312"/>
                      <w:sz w:val="19"/>
                    </w:rPr>
                    <w:t>3、参考频率年老化</w:t>
                  </w:r>
                  <w:r>
                    <w:rPr>
                      <w:rFonts w:ascii="仿宋_GB2312" w:hAnsi="仿宋_GB2312" w:cs="仿宋_GB2312" w:eastAsia="仿宋_GB2312"/>
                      <w:sz w:val="19"/>
                    </w:rPr>
                    <w:t>率：</w:t>
                  </w:r>
                  <w:r>
                    <w:rPr>
                      <w:rFonts w:ascii="仿宋_GB2312" w:hAnsi="仿宋_GB2312" w:cs="仿宋_GB2312" w:eastAsia="仿宋_GB2312"/>
                      <w:sz w:val="19"/>
                    </w:rPr>
                    <w:t>≤</w:t>
                  </w:r>
                  <w:r>
                    <w:rPr>
                      <w:rFonts w:ascii="仿宋_GB2312" w:hAnsi="仿宋_GB2312" w:cs="仿宋_GB2312" w:eastAsia="仿宋_GB2312"/>
                      <w:sz w:val="19"/>
                    </w:rPr>
                    <w:t>1×10</w:t>
                  </w:r>
                  <w:r>
                    <w:rPr>
                      <w:rFonts w:ascii="仿宋_GB2312" w:hAnsi="仿宋_GB2312" w:cs="仿宋_GB2312" w:eastAsia="仿宋_GB2312"/>
                      <w:sz w:val="19"/>
                      <w:vertAlign w:val="superscript"/>
                    </w:rPr>
                    <w:t>-7</w:t>
                  </w:r>
                  <w:r>
                    <w:rPr>
                      <w:rFonts w:ascii="仿宋_GB2312" w:hAnsi="仿宋_GB2312" w:cs="仿宋_GB2312" w:eastAsia="仿宋_GB2312"/>
                      <w:sz w:val="19"/>
                    </w:rPr>
                    <w:t>/年；</w:t>
                  </w:r>
                </w:p>
                <w:p>
                  <w:pPr>
                    <w:pStyle w:val="null3"/>
                  </w:pPr>
                  <w:r>
                    <w:rPr>
                      <w:rFonts w:ascii="仿宋_GB2312" w:hAnsi="仿宋_GB2312" w:cs="仿宋_GB2312" w:eastAsia="仿宋_GB2312"/>
                      <w:sz w:val="19"/>
                    </w:rPr>
                    <w:t>4、初始频率校准精度：</w:t>
                  </w:r>
                  <w:r>
                    <w:rPr>
                      <w:rFonts w:ascii="仿宋_GB2312" w:hAnsi="仿宋_GB2312" w:cs="仿宋_GB2312" w:eastAsia="仿宋_GB2312"/>
                      <w:sz w:val="19"/>
                    </w:rPr>
                    <w:t>≤</w:t>
                  </w:r>
                  <w:r>
                    <w:rPr>
                      <w:rFonts w:ascii="仿宋_GB2312" w:hAnsi="仿宋_GB2312" w:cs="仿宋_GB2312" w:eastAsia="仿宋_GB2312"/>
                      <w:sz w:val="19"/>
                    </w:rPr>
                    <w:t>1 x 10</w:t>
                  </w:r>
                  <w:r>
                    <w:rPr>
                      <w:rFonts w:ascii="仿宋_GB2312" w:hAnsi="仿宋_GB2312" w:cs="仿宋_GB2312" w:eastAsia="仿宋_GB2312"/>
                      <w:sz w:val="19"/>
                      <w:vertAlign w:val="superscript"/>
                    </w:rPr>
                    <w:t>-8</w:t>
                  </w:r>
                  <w:r>
                    <w:rPr>
                      <w:rFonts w:ascii="仿宋_GB2312" w:hAnsi="仿宋_GB2312" w:cs="仿宋_GB2312" w:eastAsia="仿宋_GB2312"/>
                      <w:sz w:val="19"/>
                    </w:rPr>
                    <w:t>；</w:t>
                  </w:r>
                </w:p>
                <w:p>
                  <w:pPr>
                    <w:pStyle w:val="null3"/>
                  </w:pPr>
                  <w:r>
                    <w:rPr>
                      <w:rFonts w:ascii="仿宋_GB2312" w:hAnsi="仿宋_GB2312" w:cs="仿宋_GB2312" w:eastAsia="仿宋_GB2312"/>
                      <w:sz w:val="19"/>
                    </w:rPr>
                    <w:t>★5、频率切换时间：</w:t>
                  </w: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.5ms；</w:t>
                  </w:r>
                </w:p>
                <w:p>
                  <w:pPr>
                    <w:pStyle w:val="null3"/>
                  </w:pPr>
                  <w:r>
                    <w:rPr>
                      <w:rFonts w:ascii="仿宋_GB2312" w:hAnsi="仿宋_GB2312" w:cs="仿宋_GB2312" w:eastAsia="仿宋_GB2312"/>
                      <w:sz w:val="19"/>
                    </w:rPr>
                    <w:t>6、 最大幅度输出功率保证值：</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≥+15 dBm（20 GHz＜f ≤ 50 GHz：）；</w:t>
                  </w:r>
                </w:p>
                <w:p>
                  <w:pPr>
                    <w:pStyle w:val="null3"/>
                  </w:pPr>
                  <w:r>
                    <w:rPr>
                      <w:rFonts w:ascii="仿宋_GB2312" w:hAnsi="仿宋_GB2312" w:cs="仿宋_GB2312" w:eastAsia="仿宋_GB2312"/>
                      <w:sz w:val="19"/>
                    </w:rPr>
                    <w:t>7、 最小幅度输出功率：-145dBm（可设置值）；</w:t>
                  </w:r>
                </w:p>
                <w:p>
                  <w:pPr>
                    <w:pStyle w:val="null3"/>
                  </w:pPr>
                  <w:r>
                    <w:rPr>
                      <w:rFonts w:ascii="仿宋_GB2312" w:hAnsi="仿宋_GB2312" w:cs="仿宋_GB2312" w:eastAsia="仿宋_GB2312"/>
                      <w:sz w:val="19"/>
                    </w:rPr>
                    <w:t>8、CW功率精度（≥ -90dBm）保证值：</w:t>
                  </w:r>
                  <w:r>
                    <w:rPr>
                      <w:rFonts w:ascii="仿宋_GB2312" w:hAnsi="仿宋_GB2312" w:cs="仿宋_GB2312" w:eastAsia="仿宋_GB2312"/>
                      <w:sz w:val="19"/>
                    </w:rPr>
                    <w:t>≤</w:t>
                  </w:r>
                  <w:r>
                    <w:rPr>
                      <w:rFonts w:ascii="仿宋_GB2312" w:hAnsi="仿宋_GB2312" w:cs="仿宋_GB2312" w:eastAsia="仿宋_GB2312"/>
                      <w:sz w:val="19"/>
                    </w:rPr>
                    <w:t>0.</w:t>
                  </w:r>
                  <w:r>
                    <w:rPr>
                      <w:rFonts w:ascii="仿宋_GB2312" w:hAnsi="仿宋_GB2312" w:cs="仿宋_GB2312" w:eastAsia="仿宋_GB2312"/>
                      <w:sz w:val="19"/>
                    </w:rPr>
                    <w:t>8</w:t>
                  </w:r>
                  <w:r>
                    <w:rPr>
                      <w:rFonts w:ascii="仿宋_GB2312" w:hAnsi="仿宋_GB2312" w:cs="仿宋_GB2312" w:eastAsia="仿宋_GB2312"/>
                      <w:sz w:val="19"/>
                    </w:rPr>
                    <w:t>0dB, f = 3 GHz；</w:t>
                  </w:r>
                </w:p>
                <w:p>
                  <w:pPr>
                    <w:pStyle w:val="null3"/>
                  </w:pPr>
                  <w:r>
                    <w:rPr>
                      <w:rFonts w:ascii="仿宋_GB2312" w:hAnsi="仿宋_GB2312" w:cs="仿宋_GB2312" w:eastAsia="仿宋_GB2312"/>
                      <w:sz w:val="19"/>
                    </w:rPr>
                    <w:t>≤</w:t>
                  </w:r>
                  <w:r>
                    <w:rPr>
                      <w:rFonts w:ascii="仿宋_GB2312" w:hAnsi="仿宋_GB2312" w:cs="仿宋_GB2312" w:eastAsia="仿宋_GB2312"/>
                      <w:sz w:val="19"/>
                    </w:rPr>
                    <w:t>0.9 dB, f = 15 GHz；</w:t>
                  </w:r>
                </w:p>
                <w:p>
                  <w:pPr>
                    <w:pStyle w:val="null3"/>
                  </w:pPr>
                  <w:r>
                    <w:rPr>
                      <w:rFonts w:ascii="仿宋_GB2312" w:hAnsi="仿宋_GB2312" w:cs="仿宋_GB2312" w:eastAsia="仿宋_GB2312"/>
                      <w:sz w:val="19"/>
                    </w:rPr>
                    <w:t>≤</w:t>
                  </w:r>
                  <w:r>
                    <w:rPr>
                      <w:rFonts w:ascii="仿宋_GB2312" w:hAnsi="仿宋_GB2312" w:cs="仿宋_GB2312" w:eastAsia="仿宋_GB2312"/>
                      <w:sz w:val="19"/>
                    </w:rPr>
                    <w:t>0.9 dB, f = 20 GHz；</w:t>
                  </w:r>
                </w:p>
                <w:p>
                  <w:pPr>
                    <w:pStyle w:val="null3"/>
                  </w:pPr>
                  <w:r>
                    <w:rPr>
                      <w:rFonts w:ascii="仿宋_GB2312" w:hAnsi="仿宋_GB2312" w:cs="仿宋_GB2312" w:eastAsia="仿宋_GB2312"/>
                      <w:sz w:val="19"/>
                    </w:rPr>
                    <w:t>≤</w:t>
                  </w:r>
                  <w:r>
                    <w:rPr>
                      <w:rFonts w:ascii="仿宋_GB2312" w:hAnsi="仿宋_GB2312" w:cs="仿宋_GB2312" w:eastAsia="仿宋_GB2312"/>
                      <w:sz w:val="19"/>
                    </w:rPr>
                    <w:t>1.4 dB, f = 50 GHz；</w:t>
                  </w:r>
                </w:p>
                <w:p>
                  <w:pPr>
                    <w:pStyle w:val="null3"/>
                  </w:pPr>
                  <w:r>
                    <w:rPr>
                      <w:rFonts w:ascii="仿宋_GB2312" w:hAnsi="仿宋_GB2312" w:cs="仿宋_GB2312" w:eastAsia="仿宋_GB2312"/>
                      <w:sz w:val="19"/>
                    </w:rPr>
                    <w:t>★</w:t>
                  </w:r>
                  <w:r>
                    <w:rPr>
                      <w:rFonts w:ascii="仿宋_GB2312" w:hAnsi="仿宋_GB2312" w:cs="仿宋_GB2312" w:eastAsia="仿宋_GB2312"/>
                      <w:sz w:val="19"/>
                    </w:rPr>
                    <w:t>9、相位噪声保证值（10kHz 频偏）：</w:t>
                  </w:r>
                </w:p>
                <w:p>
                  <w:pPr>
                    <w:pStyle w:val="null3"/>
                  </w:pPr>
                  <w:r>
                    <w:rPr>
                      <w:rFonts w:ascii="仿宋_GB2312" w:hAnsi="仿宋_GB2312" w:cs="仿宋_GB2312" w:eastAsia="仿宋_GB2312"/>
                      <w:sz w:val="19"/>
                    </w:rPr>
                    <w:t>f = 1GHz，</w:t>
                  </w:r>
                  <w:r>
                    <w:rPr>
                      <w:rFonts w:ascii="仿宋_GB2312" w:hAnsi="仿宋_GB2312" w:cs="仿宋_GB2312" w:eastAsia="仿宋_GB2312"/>
                      <w:sz w:val="19"/>
                    </w:rPr>
                    <w:t>≤</w:t>
                  </w:r>
                  <w:r>
                    <w:rPr>
                      <w:rFonts w:ascii="仿宋_GB2312" w:hAnsi="仿宋_GB2312" w:cs="仿宋_GB2312" w:eastAsia="仿宋_GB2312"/>
                      <w:sz w:val="19"/>
                    </w:rPr>
                    <w:t>-140dBc；</w:t>
                  </w:r>
                </w:p>
                <w:p>
                  <w:pPr>
                    <w:pStyle w:val="null3"/>
                  </w:pPr>
                  <w:r>
                    <w:rPr>
                      <w:rFonts w:ascii="仿宋_GB2312" w:hAnsi="仿宋_GB2312" w:cs="仿宋_GB2312" w:eastAsia="仿宋_GB2312"/>
                      <w:sz w:val="19"/>
                    </w:rPr>
                    <w:t>f = 10GHz，</w:t>
                  </w:r>
                  <w:r>
                    <w:rPr>
                      <w:rFonts w:ascii="仿宋_GB2312" w:hAnsi="仿宋_GB2312" w:cs="仿宋_GB2312" w:eastAsia="仿宋_GB2312"/>
                      <w:sz w:val="19"/>
                    </w:rPr>
                    <w:t>≤</w:t>
                  </w:r>
                  <w:r>
                    <w:rPr>
                      <w:rFonts w:ascii="仿宋_GB2312" w:hAnsi="仿宋_GB2312" w:cs="仿宋_GB2312" w:eastAsia="仿宋_GB2312"/>
                      <w:sz w:val="19"/>
                    </w:rPr>
                    <w:t>-121dBc；</w:t>
                  </w:r>
                </w:p>
                <w:p>
                  <w:pPr>
                    <w:pStyle w:val="null3"/>
                  </w:pPr>
                  <w:r>
                    <w:rPr>
                      <w:rFonts w:ascii="仿宋_GB2312" w:hAnsi="仿宋_GB2312" w:cs="仿宋_GB2312" w:eastAsia="仿宋_GB2312"/>
                      <w:sz w:val="19"/>
                    </w:rPr>
                    <w:t>f = 20GHz，</w:t>
                  </w:r>
                  <w:r>
                    <w:rPr>
                      <w:rFonts w:ascii="仿宋_GB2312" w:hAnsi="仿宋_GB2312" w:cs="仿宋_GB2312" w:eastAsia="仿宋_GB2312"/>
                      <w:sz w:val="19"/>
                    </w:rPr>
                    <w:t>≤</w:t>
                  </w:r>
                  <w:r>
                    <w:rPr>
                      <w:rFonts w:ascii="仿宋_GB2312" w:hAnsi="仿宋_GB2312" w:cs="仿宋_GB2312" w:eastAsia="仿宋_GB2312"/>
                      <w:sz w:val="19"/>
                    </w:rPr>
                    <w:t>-114dBc；</w:t>
                  </w:r>
                </w:p>
                <w:p>
                  <w:pPr>
                    <w:pStyle w:val="null3"/>
                  </w:pPr>
                  <w:r>
                    <w:rPr>
                      <w:rFonts w:ascii="仿宋_GB2312" w:hAnsi="仿宋_GB2312" w:cs="仿宋_GB2312" w:eastAsia="仿宋_GB2312"/>
                      <w:sz w:val="19"/>
                    </w:rPr>
                    <w:t>f = 30GHz，</w:t>
                  </w:r>
                  <w:r>
                    <w:rPr>
                      <w:rFonts w:ascii="仿宋_GB2312" w:hAnsi="仿宋_GB2312" w:cs="仿宋_GB2312" w:eastAsia="仿宋_GB2312"/>
                      <w:sz w:val="19"/>
                    </w:rPr>
                    <w:t>≤</w:t>
                  </w:r>
                  <w:r>
                    <w:rPr>
                      <w:rFonts w:ascii="仿宋_GB2312" w:hAnsi="仿宋_GB2312" w:cs="仿宋_GB2312" w:eastAsia="仿宋_GB2312"/>
                      <w:sz w:val="19"/>
                    </w:rPr>
                    <w:t>-110dBc；</w:t>
                  </w:r>
                </w:p>
                <w:p>
                  <w:pPr>
                    <w:pStyle w:val="null3"/>
                  </w:pPr>
                  <w:r>
                    <w:rPr>
                      <w:rFonts w:ascii="仿宋_GB2312" w:hAnsi="仿宋_GB2312" w:cs="仿宋_GB2312" w:eastAsia="仿宋_GB2312"/>
                      <w:sz w:val="19"/>
                    </w:rPr>
                    <w:t>f = 40GHz，</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06</w:t>
                  </w:r>
                  <w:r>
                    <w:rPr>
                      <w:rFonts w:ascii="仿宋_GB2312" w:hAnsi="仿宋_GB2312" w:cs="仿宋_GB2312" w:eastAsia="仿宋_GB2312"/>
                      <w:sz w:val="19"/>
                    </w:rPr>
                    <w:t>dBc；</w:t>
                  </w:r>
                </w:p>
                <w:p>
                  <w:pPr>
                    <w:pStyle w:val="null3"/>
                  </w:pPr>
                  <w:r>
                    <w:rPr>
                      <w:rFonts w:ascii="仿宋_GB2312" w:hAnsi="仿宋_GB2312" w:cs="仿宋_GB2312" w:eastAsia="仿宋_GB2312"/>
                      <w:sz w:val="19"/>
                    </w:rPr>
                    <w:t>相位噪声保证值（</w:t>
                  </w:r>
                  <w:r>
                    <w:rPr>
                      <w:rFonts w:ascii="仿宋_GB2312" w:hAnsi="仿宋_GB2312" w:cs="仿宋_GB2312" w:eastAsia="仿宋_GB2312"/>
                      <w:sz w:val="19"/>
                    </w:rPr>
                    <w:t>1kHz 频偏）</w:t>
                  </w:r>
                </w:p>
                <w:p>
                  <w:pPr>
                    <w:pStyle w:val="null3"/>
                  </w:pPr>
                  <w:r>
                    <w:rPr>
                      <w:rFonts w:ascii="仿宋_GB2312" w:hAnsi="仿宋_GB2312" w:cs="仿宋_GB2312" w:eastAsia="仿宋_GB2312"/>
                      <w:sz w:val="19"/>
                    </w:rPr>
                    <w:t>f = 1GHz，</w:t>
                  </w:r>
                  <w:r>
                    <w:rPr>
                      <w:rFonts w:ascii="仿宋_GB2312" w:hAnsi="仿宋_GB2312" w:cs="仿宋_GB2312" w:eastAsia="仿宋_GB2312"/>
                      <w:sz w:val="19"/>
                    </w:rPr>
                    <w:t>≤</w:t>
                  </w:r>
                  <w:r>
                    <w:rPr>
                      <w:rFonts w:ascii="仿宋_GB2312" w:hAnsi="仿宋_GB2312" w:cs="仿宋_GB2312" w:eastAsia="仿宋_GB2312"/>
                      <w:sz w:val="19"/>
                    </w:rPr>
                    <w:t>-131dBc；</w:t>
                  </w:r>
                </w:p>
                <w:p>
                  <w:pPr>
                    <w:pStyle w:val="null3"/>
                  </w:pPr>
                  <w:r>
                    <w:rPr>
                      <w:rFonts w:ascii="仿宋_GB2312" w:hAnsi="仿宋_GB2312" w:cs="仿宋_GB2312" w:eastAsia="仿宋_GB2312"/>
                      <w:sz w:val="19"/>
                    </w:rPr>
                    <w:t>f = 10GHz，</w:t>
                  </w:r>
                  <w:r>
                    <w:rPr>
                      <w:rFonts w:ascii="仿宋_GB2312" w:hAnsi="仿宋_GB2312" w:cs="仿宋_GB2312" w:eastAsia="仿宋_GB2312"/>
                      <w:sz w:val="19"/>
                    </w:rPr>
                    <w:t>≤</w:t>
                  </w:r>
                  <w:r>
                    <w:rPr>
                      <w:rFonts w:ascii="仿宋_GB2312" w:hAnsi="仿宋_GB2312" w:cs="仿宋_GB2312" w:eastAsia="仿宋_GB2312"/>
                      <w:sz w:val="19"/>
                    </w:rPr>
                    <w:t>-109dBc；</w:t>
                  </w:r>
                </w:p>
                <w:p>
                  <w:pPr>
                    <w:pStyle w:val="null3"/>
                  </w:pPr>
                  <w:r>
                    <w:rPr>
                      <w:rFonts w:ascii="仿宋_GB2312" w:hAnsi="仿宋_GB2312" w:cs="仿宋_GB2312" w:eastAsia="仿宋_GB2312"/>
                      <w:sz w:val="19"/>
                    </w:rPr>
                    <w:t>f = 20GHz，</w:t>
                  </w:r>
                  <w:r>
                    <w:rPr>
                      <w:rFonts w:ascii="仿宋_GB2312" w:hAnsi="仿宋_GB2312" w:cs="仿宋_GB2312" w:eastAsia="仿宋_GB2312"/>
                      <w:sz w:val="19"/>
                    </w:rPr>
                    <w:t>≤</w:t>
                  </w:r>
                  <w:r>
                    <w:rPr>
                      <w:rFonts w:ascii="仿宋_GB2312" w:hAnsi="仿宋_GB2312" w:cs="仿宋_GB2312" w:eastAsia="仿宋_GB2312"/>
                      <w:sz w:val="19"/>
                    </w:rPr>
                    <w:t>-103dBc；</w:t>
                  </w:r>
                </w:p>
                <w:p>
                  <w:pPr>
                    <w:pStyle w:val="null3"/>
                  </w:pPr>
                  <w:r>
                    <w:rPr>
                      <w:rFonts w:ascii="仿宋_GB2312" w:hAnsi="仿宋_GB2312" w:cs="仿宋_GB2312" w:eastAsia="仿宋_GB2312"/>
                      <w:sz w:val="19"/>
                    </w:rPr>
                    <w:t>f = 30GHz，</w:t>
                  </w:r>
                  <w:r>
                    <w:rPr>
                      <w:rFonts w:ascii="仿宋_GB2312" w:hAnsi="仿宋_GB2312" w:cs="仿宋_GB2312" w:eastAsia="仿宋_GB2312"/>
                      <w:sz w:val="19"/>
                    </w:rPr>
                    <w:t>≤</w:t>
                  </w:r>
                  <w:r>
                    <w:rPr>
                      <w:rFonts w:ascii="仿宋_GB2312" w:hAnsi="仿宋_GB2312" w:cs="仿宋_GB2312" w:eastAsia="仿宋_GB2312"/>
                      <w:sz w:val="19"/>
                    </w:rPr>
                    <w:t>-99dBc；</w:t>
                  </w:r>
                </w:p>
                <w:p>
                  <w:pPr>
                    <w:pStyle w:val="null3"/>
                  </w:pPr>
                  <w:r>
                    <w:rPr>
                      <w:rFonts w:ascii="仿宋_GB2312" w:hAnsi="仿宋_GB2312" w:cs="仿宋_GB2312" w:eastAsia="仿宋_GB2312"/>
                      <w:sz w:val="19"/>
                    </w:rPr>
                    <w:t>f = 40GHz，</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97dBc；</w:t>
                  </w:r>
                </w:p>
                <w:p>
                  <w:pPr>
                    <w:pStyle w:val="null3"/>
                  </w:pPr>
                  <w:r>
                    <w:rPr>
                      <w:rFonts w:ascii="仿宋_GB2312" w:hAnsi="仿宋_GB2312" w:cs="仿宋_GB2312" w:eastAsia="仿宋_GB2312"/>
                      <w:sz w:val="19"/>
                    </w:rPr>
                    <w:t xml:space="preserve">10、谐波：f </w:t>
                  </w:r>
                  <w:r>
                    <w:rPr>
                      <w:rFonts w:ascii="仿宋_GB2312" w:hAnsi="仿宋_GB2312" w:cs="仿宋_GB2312" w:eastAsia="仿宋_GB2312"/>
                      <w:sz w:val="19"/>
                    </w:rPr>
                    <w:t>≥</w:t>
                  </w:r>
                  <w:r>
                    <w:rPr>
                      <w:rFonts w:ascii="仿宋_GB2312" w:hAnsi="仿宋_GB2312" w:cs="仿宋_GB2312" w:eastAsia="仿宋_GB2312"/>
                      <w:sz w:val="19"/>
                    </w:rPr>
                    <w:t>2.5</w:t>
                  </w:r>
                  <w:r>
                    <w:rPr>
                      <w:rFonts w:ascii="仿宋_GB2312" w:hAnsi="仿宋_GB2312" w:cs="仿宋_GB2312" w:eastAsia="仿宋_GB2312"/>
                      <w:sz w:val="19"/>
                    </w:rPr>
                    <w:t>GHz，</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0</w:t>
                  </w:r>
                  <w:r>
                    <w:rPr>
                      <w:rFonts w:ascii="仿宋_GB2312" w:hAnsi="仿宋_GB2312" w:cs="仿宋_GB2312" w:eastAsia="仿宋_GB2312"/>
                      <w:sz w:val="19"/>
                    </w:rPr>
                    <w:t xml:space="preserve"> </w:t>
                  </w:r>
                  <w:r>
                    <w:rPr>
                      <w:rFonts w:ascii="仿宋_GB2312" w:hAnsi="仿宋_GB2312" w:cs="仿宋_GB2312" w:eastAsia="仿宋_GB2312"/>
                      <w:sz w:val="19"/>
                    </w:rPr>
                    <w:t>dBc；</w:t>
                  </w:r>
                </w:p>
                <w:p>
                  <w:pPr>
                    <w:pStyle w:val="null3"/>
                  </w:pPr>
                  <w:r>
                    <w:rPr>
                      <w:rFonts w:ascii="仿宋_GB2312" w:hAnsi="仿宋_GB2312" w:cs="仿宋_GB2312" w:eastAsia="仿宋_GB2312"/>
                      <w:sz w:val="19"/>
                    </w:rPr>
                    <w:t>11、矢量调制信号射频带宽（基带调制）： ≥</w:t>
                  </w:r>
                  <w:r>
                    <w:rPr>
                      <w:rFonts w:ascii="仿宋_GB2312" w:hAnsi="仿宋_GB2312" w:cs="仿宋_GB2312" w:eastAsia="仿宋_GB2312"/>
                      <w:sz w:val="19"/>
                    </w:rPr>
                    <w:t>20</w:t>
                  </w:r>
                  <w:r>
                    <w:rPr>
                      <w:rFonts w:ascii="仿宋_GB2312" w:hAnsi="仿宋_GB2312" w:cs="仿宋_GB2312" w:eastAsia="仿宋_GB2312"/>
                      <w:sz w:val="19"/>
                    </w:rPr>
                    <w:t>0MHz；</w:t>
                  </w:r>
                </w:p>
                <w:p>
                  <w:pPr>
                    <w:pStyle w:val="null3"/>
                  </w:pPr>
                  <w:r>
                    <w:rPr>
                      <w:rFonts w:ascii="仿宋_GB2312" w:hAnsi="仿宋_GB2312" w:cs="仿宋_GB2312" w:eastAsia="仿宋_GB2312"/>
                      <w:sz w:val="19"/>
                    </w:rPr>
                    <w:t>★12、 IQ调制模式带内平坦度：</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1.0</w:t>
                  </w:r>
                  <w:r>
                    <w:rPr>
                      <w:rFonts w:ascii="仿宋_GB2312" w:hAnsi="仿宋_GB2312" w:cs="仿宋_GB2312" w:eastAsia="仿宋_GB2312"/>
                      <w:sz w:val="19"/>
                    </w:rPr>
                    <w:t xml:space="preserve"> </w:t>
                  </w:r>
                  <w:r>
                    <w:rPr>
                      <w:rFonts w:ascii="仿宋_GB2312" w:hAnsi="仿宋_GB2312" w:cs="仿宋_GB2312" w:eastAsia="仿宋_GB2312"/>
                      <w:sz w:val="19"/>
                    </w:rPr>
                    <w:t>dB；</w:t>
                  </w:r>
                </w:p>
                <w:p>
                  <w:pPr>
                    <w:pStyle w:val="null3"/>
                  </w:pPr>
                  <w:r>
                    <w:rPr>
                      <w:rFonts w:ascii="仿宋_GB2312" w:hAnsi="仿宋_GB2312" w:cs="仿宋_GB2312" w:eastAsia="仿宋_GB2312"/>
                      <w:sz w:val="19"/>
                    </w:rPr>
                    <w:t>13、ARB波形存储深度：500M Sample，可升级至1G Sample；</w:t>
                  </w:r>
                </w:p>
                <w:p>
                  <w:pPr>
                    <w:pStyle w:val="null3"/>
                  </w:pPr>
                  <w:r>
                    <w:rPr>
                      <w:rFonts w:ascii="仿宋_GB2312" w:hAnsi="仿宋_GB2312" w:cs="仿宋_GB2312" w:eastAsia="仿宋_GB2312"/>
                      <w:sz w:val="19"/>
                    </w:rPr>
                    <w:t>★14</w:t>
                  </w:r>
                  <w:r>
                    <w:rPr>
                      <w:rFonts w:ascii="仿宋_GB2312" w:hAnsi="仿宋_GB2312" w:cs="仿宋_GB2312" w:eastAsia="仿宋_GB2312"/>
                      <w:sz w:val="19"/>
                    </w:rPr>
                    <w:t>、</w:t>
                  </w:r>
                  <w:r>
                    <w:rPr>
                      <w:rFonts w:ascii="仿宋_GB2312" w:hAnsi="仿宋_GB2312" w:cs="仿宋_GB2312" w:eastAsia="仿宋_GB2312"/>
                      <w:sz w:val="19"/>
                    </w:rPr>
                    <w:t>通信信号模拟：</w:t>
                  </w:r>
                </w:p>
                <w:p>
                  <w:pPr>
                    <w:pStyle w:val="null3"/>
                  </w:pPr>
                  <w:r>
                    <w:rPr>
                      <w:rFonts w:ascii="仿宋_GB2312" w:hAnsi="仿宋_GB2312" w:cs="仿宋_GB2312" w:eastAsia="仿宋_GB2312"/>
                      <w:sz w:val="19"/>
                    </w:rPr>
                    <w:t>具备模拟调制：</w:t>
                  </w:r>
                  <w:r>
                    <w:rPr>
                      <w:rFonts w:ascii="仿宋_GB2312" w:hAnsi="仿宋_GB2312" w:cs="仿宋_GB2312" w:eastAsia="仿宋_GB2312"/>
                      <w:sz w:val="19"/>
                    </w:rPr>
                    <w:t>AM、FM、SSB、DSB、LSB、CW；</w:t>
                  </w:r>
                </w:p>
                <w:p>
                  <w:pPr>
                    <w:pStyle w:val="null3"/>
                  </w:pPr>
                  <w:r>
                    <w:rPr>
                      <w:rFonts w:ascii="仿宋_GB2312" w:hAnsi="仿宋_GB2312" w:cs="仿宋_GB2312" w:eastAsia="仿宋_GB2312"/>
                      <w:sz w:val="19"/>
                    </w:rPr>
                    <w:t>具备数字调制：</w:t>
                  </w:r>
                  <w:r>
                    <w:rPr>
                      <w:rFonts w:ascii="仿宋_GB2312" w:hAnsi="仿宋_GB2312" w:cs="仿宋_GB2312" w:eastAsia="仿宋_GB2312"/>
                      <w:sz w:val="19"/>
                    </w:rPr>
                    <w:t>ASK、2FSK、BPSK、QPSK、PI/4-DQPSK、OQPSK、MSK、GMSK、MQAM、STAR、OFDM；</w:t>
                  </w:r>
                </w:p>
                <w:p>
                  <w:pPr>
                    <w:pStyle w:val="null3"/>
                  </w:pPr>
                  <w:r>
                    <w:rPr>
                      <w:rFonts w:ascii="仿宋_GB2312" w:hAnsi="仿宋_GB2312" w:cs="仿宋_GB2312" w:eastAsia="仿宋_GB2312"/>
                      <w:sz w:val="19"/>
                    </w:rPr>
                    <w:t>具备扩频信号、跳频信号；</w:t>
                  </w:r>
                </w:p>
                <w:p>
                  <w:pPr>
                    <w:pStyle w:val="null3"/>
                  </w:pPr>
                  <w:r>
                    <w:rPr>
                      <w:rFonts w:ascii="仿宋_GB2312" w:hAnsi="仿宋_GB2312" w:cs="仿宋_GB2312" w:eastAsia="仿宋_GB2312"/>
                      <w:sz w:val="19"/>
                    </w:rPr>
                    <w:t>具备数据链信号（</w:t>
                  </w:r>
                  <w:r>
                    <w:rPr>
                      <w:rFonts w:ascii="仿宋_GB2312" w:hAnsi="仿宋_GB2312" w:cs="仿宋_GB2312" w:eastAsia="仿宋_GB2312"/>
                      <w:sz w:val="19"/>
                    </w:rPr>
                    <w:t>LINK4A/LINK11/LINK14/LINK16 物理层信号模拟）；</w:t>
                  </w:r>
                </w:p>
                <w:p>
                  <w:pPr>
                    <w:pStyle w:val="null3"/>
                  </w:pPr>
                  <w:r>
                    <w:rPr>
                      <w:rFonts w:ascii="仿宋_GB2312" w:hAnsi="仿宋_GB2312" w:cs="仿宋_GB2312" w:eastAsia="仿宋_GB2312"/>
                      <w:sz w:val="19"/>
                    </w:rPr>
                    <w:t>15</w:t>
                  </w:r>
                  <w:r>
                    <w:rPr>
                      <w:rFonts w:ascii="仿宋_GB2312" w:hAnsi="仿宋_GB2312" w:cs="仿宋_GB2312" w:eastAsia="仿宋_GB2312"/>
                      <w:sz w:val="19"/>
                    </w:rPr>
                    <w:t>、</w:t>
                  </w:r>
                  <w:r>
                    <w:rPr>
                      <w:rFonts w:ascii="仿宋_GB2312" w:hAnsi="仿宋_GB2312" w:cs="仿宋_GB2312" w:eastAsia="仿宋_GB2312"/>
                      <w:sz w:val="19"/>
                    </w:rPr>
                    <w:t>非通信信号样式：雷达（脉冲流密度</w:t>
                  </w:r>
                  <w:r>
                    <w:rPr>
                      <w:rFonts w:ascii="仿宋_GB2312" w:hAnsi="仿宋_GB2312" w:cs="仿宋_GB2312" w:eastAsia="仿宋_GB2312"/>
                      <w:sz w:val="19"/>
                    </w:rPr>
                    <w:t>≥100万/秒）、美制敌我识别、俄制敌我识别、TACAN；</w:t>
                  </w:r>
                </w:p>
                <w:p>
                  <w:pPr>
                    <w:pStyle w:val="null3"/>
                  </w:pPr>
                  <w:r>
                    <w:rPr>
                      <w:rFonts w:ascii="仿宋_GB2312" w:hAnsi="仿宋_GB2312" w:cs="仿宋_GB2312" w:eastAsia="仿宋_GB2312"/>
                      <w:sz w:val="19"/>
                    </w:rPr>
                    <w:t>干扰信号样式：</w:t>
                  </w:r>
                </w:p>
                <w:p>
                  <w:pPr>
                    <w:pStyle w:val="null3"/>
                  </w:pPr>
                  <w:r>
                    <w:rPr>
                      <w:rFonts w:ascii="仿宋_GB2312" w:hAnsi="仿宋_GB2312" w:cs="仿宋_GB2312" w:eastAsia="仿宋_GB2312"/>
                      <w:sz w:val="19"/>
                    </w:rPr>
                    <w:t>通信干扰</w:t>
                  </w:r>
                  <w:r>
                    <w:rPr>
                      <w:rFonts w:ascii="仿宋_GB2312" w:hAnsi="仿宋_GB2312" w:cs="仿宋_GB2312" w:eastAsia="仿宋_GB2312"/>
                      <w:sz w:val="19"/>
                    </w:rPr>
                    <w:t>:单音、多音干扰、梳状谱；</w:t>
                  </w:r>
                </w:p>
                <w:p>
                  <w:pPr>
                    <w:pStyle w:val="null3"/>
                  </w:pPr>
                  <w:r>
                    <w:rPr>
                      <w:rFonts w:ascii="仿宋_GB2312" w:hAnsi="仿宋_GB2312" w:cs="仿宋_GB2312" w:eastAsia="仿宋_GB2312"/>
                      <w:sz w:val="19"/>
                    </w:rPr>
                    <w:t>雷达干扰</w:t>
                  </w:r>
                  <w:r>
                    <w:rPr>
                      <w:rFonts w:ascii="仿宋_GB2312" w:hAnsi="仿宋_GB2312" w:cs="仿宋_GB2312" w:eastAsia="仿宋_GB2312"/>
                      <w:sz w:val="19"/>
                    </w:rPr>
                    <w:t>:射频噪声、噪声调频、噪声调相、噪声调幅；</w:t>
                  </w:r>
                </w:p>
                <w:p>
                  <w:pPr>
                    <w:pStyle w:val="null3"/>
                  </w:pPr>
                  <w:r>
                    <w:rPr>
                      <w:rFonts w:ascii="仿宋_GB2312" w:hAnsi="仿宋_GB2312" w:cs="仿宋_GB2312" w:eastAsia="仿宋_GB2312"/>
                      <w:sz w:val="19"/>
                    </w:rPr>
                    <w:t>16、具备常规信号和复杂雷达信号产生功能；</w:t>
                  </w:r>
                </w:p>
                <w:p>
                  <w:pPr>
                    <w:pStyle w:val="null3"/>
                  </w:pPr>
                  <w:r>
                    <w:rPr>
                      <w:rFonts w:ascii="仿宋_GB2312" w:hAnsi="仿宋_GB2312" w:cs="仿宋_GB2312" w:eastAsia="仿宋_GB2312"/>
                      <w:sz w:val="19"/>
                    </w:rPr>
                    <w:t>17、具备自定义脉冲间参数变化；</w:t>
                  </w:r>
                </w:p>
                <w:p>
                  <w:pPr>
                    <w:pStyle w:val="null3"/>
                  </w:pPr>
                  <w:r>
                    <w:rPr>
                      <w:rFonts w:ascii="仿宋_GB2312" w:hAnsi="仿宋_GB2312" w:cs="仿宋_GB2312" w:eastAsia="仿宋_GB2312"/>
                      <w:sz w:val="19"/>
                    </w:rPr>
                    <w:t>18、具备重频抖动、频率跳变、功率改变等脉冲间参数变化。包括时间参数、功率参数、频率参数。</w:t>
                  </w:r>
                </w:p>
                <w:p>
                  <w:pPr>
                    <w:pStyle w:val="null3"/>
                  </w:pPr>
                  <w:r>
                    <w:rPr>
                      <w:rFonts w:ascii="仿宋_GB2312" w:hAnsi="仿宋_GB2312" w:cs="仿宋_GB2312" w:eastAsia="仿宋_GB2312"/>
                      <w:sz w:val="19"/>
                    </w:rPr>
                    <w:t>培训要求</w:t>
                  </w:r>
                </w:p>
                <w:p>
                  <w:pPr>
                    <w:pStyle w:val="null3"/>
                  </w:pPr>
                  <w:r>
                    <w:rPr>
                      <w:rFonts w:ascii="仿宋_GB2312" w:hAnsi="仿宋_GB2312" w:cs="仿宋_GB2312" w:eastAsia="仿宋_GB2312"/>
                      <w:sz w:val="19"/>
                    </w:rPr>
                    <w:t>到货安装调试完成后，由专业工程师现场提供一次系统的使用培训服务，直至采购人相关人员熟练掌握为止。培训内容：仪器操作规程，培训人员：</w:t>
                  </w:r>
                  <w:r>
                    <w:rPr>
                      <w:rFonts w:ascii="仿宋_GB2312" w:hAnsi="仿宋_GB2312" w:cs="仿宋_GB2312" w:eastAsia="仿宋_GB2312"/>
                      <w:sz w:val="19"/>
                    </w:rPr>
                    <w:t>5人以上，培训时间：不少于一个工作日，考核方式：现场操作考核。</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按采购文件、响应文件及合同约定执行，应达到响应文件中承诺的指标，所有指标验收必须由采购人确认。需进行现场测试，其他无法提供现场测试的指标，需提供出厂报告进行佐证。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1、3年（质保期内，任何由制造商选材和制造不当引起的质量问题，中标人负责免费维修。质保期自验收签字之日起计算。） 2、中标人应在24小时内对用户的服务要求做出响应，一般问题在48小时内解决，重大问题或其它无法立刻解决的问题应在一周内解决或提出明确的解决方案。 3、提供一次免费移机服务。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保证金注意事项：（1）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2559647209@qq.com（邮件命名：项目编号），并将保函原件单独递交至代理机构财务；投标人应在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2、根据法律规定中标公告只公布主要标的的名称、规格型号、数量、单价，本项目主要标的为：核心产品。 3、若项目后期涉及组织专家验收，则验收费用由中标人承担。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供应商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成立时间至提交响应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法定代表人参加谈判的，须提供身份证；法定代表人授权本单位他人参加谈判的，须提供法定代表人授权委托书。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不接受联合体谈判，不允许分包</w:t>
            </w:r>
          </w:p>
        </w:tc>
        <w:tc>
          <w:tcPr>
            <w:tcW w:type="dxa" w:w="3322"/>
          </w:tcPr>
          <w:p>
            <w:pPr>
              <w:pStyle w:val="null3"/>
            </w:pPr>
            <w:r>
              <w:rPr>
                <w:rFonts w:ascii="仿宋_GB2312" w:hAnsi="仿宋_GB2312" w:cs="仿宋_GB2312" w:eastAsia="仿宋_GB2312"/>
              </w:rPr>
              <w:t>本项目不接受联合体谈判，不允许分包。供应商应提供《非联合体不分包投标声明》。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响应处理：(1)响应文件未按照谈判文件规定要求签署、盖章的；(2)不满足本谈判文件中“交货时间、交货地点、采购资金的支付方式及约定、质量保修范围和保修期实质性条款要求的；(3)响应有效期不足的或无有效期的；(4)报价超过谈判文件中规定的采购预算或最高限价的； (5)法律、法规和谈判文件规定的其他无效情形。</w:t>
            </w:r>
          </w:p>
        </w:tc>
        <w:tc>
          <w:tcPr>
            <w:tcW w:type="dxa" w:w="1661"/>
          </w:tcPr>
          <w:p>
            <w:pPr>
              <w:pStyle w:val="null3"/>
            </w:pPr>
            <w:r>
              <w:rPr>
                <w:rFonts w:ascii="仿宋_GB2312" w:hAnsi="仿宋_GB2312" w:cs="仿宋_GB2312" w:eastAsia="仿宋_GB2312"/>
              </w:rPr>
              <w:t>响应文件封面 技术方案及实施方案、组织机构、售后服务承诺.docx 承诺书.docx 供应商资格证明文件.docx 商务部分偏离表.docx 技术响应与偏离表.docx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详见附件：技术方案及实施方案、组织机构、售后服务承诺.docx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详见附件：合同正文.docx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