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版本号：DQB-2025086-ZB20251021002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2025年环境应急物资项目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DQB-2025086-ZB</w:t>
      </w:r>
      <w:r>
        <w:br/>
      </w:r>
      <w:r>
        <w:br/>
      </w:r>
      <w:r>
        <w:br/>
      </w:r>
    </w:p>
    <w:p>
      <w:pPr>
        <w:pStyle w:val="null3"/>
        <w:jc w:val="center"/>
        <w:outlineLvl w:val="2"/>
      </w:pPr>
      <w:r>
        <w:rPr>
          <w:rFonts w:ascii="仿宋_GB2312" w:hAnsi="仿宋_GB2312" w:cs="仿宋_GB2312" w:eastAsia="仿宋_GB2312"/>
          <w:sz w:val="28"/>
          <w:b/>
        </w:rPr>
        <w:t>陕西省生态环境厅机关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陕西省生态环境厅机关</w:t>
      </w:r>
      <w:r>
        <w:rPr>
          <w:rFonts w:ascii="仿宋_GB2312" w:hAnsi="仿宋_GB2312" w:cs="仿宋_GB2312" w:eastAsia="仿宋_GB2312"/>
        </w:rPr>
        <w:t>委托，拟对</w:t>
      </w:r>
      <w:r>
        <w:rPr>
          <w:rFonts w:ascii="仿宋_GB2312" w:hAnsi="仿宋_GB2312" w:cs="仿宋_GB2312" w:eastAsia="仿宋_GB2312"/>
        </w:rPr>
        <w:t>2025年环境应急物资项目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DQB-2025086-ZB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2025年环境应急物资项目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2025年环境应急物资项目，购买储备环境应急物资，活性炭、吸油索、吸油垫、吸油毡、絮凝剂（PAFC）等。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省政府前大楼10层西侧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银行账号：52880188000141863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2025年环境应急物资项目，购买储备环境应急物资，活性炭、吸油索、吸油垫、吸油毡、絮凝剂（PAFC）等。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3,300,000.00</w:t>
      </w:r>
    </w:p>
    <w:p>
      <w:pPr>
        <w:pStyle w:val="null3"/>
      </w:pPr>
      <w:r>
        <w:rPr>
          <w:rFonts w:ascii="仿宋_GB2312" w:hAnsi="仿宋_GB2312" w:cs="仿宋_GB2312" w:eastAsia="仿宋_GB2312"/>
        </w:rPr>
        <w:t>采购包最高限价（元）: 3,300,000.00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2025年环境应急物资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标的名称：2025年环境应急物资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一、项目背景</w:t>
            </w:r>
          </w:p>
          <w:p>
            <w:pPr>
              <w:pStyle w:val="null3"/>
              <w:ind w:firstLine="422"/>
              <w:jc w:val="left"/>
            </w:pPr>
            <w:r>
              <w:rPr>
                <w:rFonts w:ascii="仿宋_GB2312" w:hAnsi="仿宋_GB2312" w:cs="仿宋_GB2312" w:eastAsia="仿宋_GB2312"/>
                <w:sz w:val="21"/>
                <w:color w:val="000000"/>
              </w:rPr>
              <w:t>为深入打好污染防治攻坚战，防范化解重大环境风险，健全环境应急物资保障体系，有效提升突发环境事件应急处置能力，坚决守牢美丽陕西建设安全底线，为全省高质量发展提供坚实应急物资保障，结合我省环境应急能力建设标准以及目前库存物资实际，采购</w:t>
            </w:r>
            <w:r>
              <w:rPr>
                <w:rFonts w:ascii="仿宋_GB2312" w:hAnsi="仿宋_GB2312" w:cs="仿宋_GB2312" w:eastAsia="仿宋_GB2312"/>
                <w:sz w:val="21"/>
                <w:color w:val="000000"/>
              </w:rPr>
              <w:t>2025年度环境应急物资。</w:t>
            </w:r>
          </w:p>
          <w:p>
            <w:pPr>
              <w:pStyle w:val="null3"/>
              <w:ind w:firstLine="422"/>
              <w:jc w:val="left"/>
            </w:pPr>
            <w:r>
              <w:rPr>
                <w:rFonts w:ascii="仿宋_GB2312" w:hAnsi="仿宋_GB2312" w:cs="仿宋_GB2312" w:eastAsia="仿宋_GB2312"/>
                <w:sz w:val="21"/>
                <w:b/>
                <w:color w:val="000000"/>
              </w:rPr>
              <w:t>二、采购清单</w:t>
            </w:r>
          </w:p>
          <w:tbl>
            <w:tblPr>
              <w:tblBorders>
                <w:top w:val="none" w:color="000000" w:sz="4"/>
                <w:left w:val="none" w:color="000000" w:sz="4"/>
                <w:bottom w:val="none" w:color="000000" w:sz="4"/>
                <w:right w:val="none" w:color="000000" w:sz="4"/>
                <w:insideH w:val="none"/>
                <w:insideV w:val="none"/>
              </w:tblBorders>
            </w:tblPr>
            <w:tblGrid>
              <w:gridCol w:w="187"/>
              <w:gridCol w:w="246"/>
              <w:gridCol w:w="1702"/>
              <w:gridCol w:w="204"/>
              <w:gridCol w:w="204"/>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吸油索</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20cm*300cm（5条/包）以聚丙烯为原料制成的超细纤维吸附材料，可吸附拦截水面浮油，外部采用弹性网套，伸缩性能高，不易破裂，末端为双金属扣，保证牢固，吸油前后浮于水面，吸油率为自身重量的10-15倍。易于储存、耐高温，可重复使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吸油垫</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60cm×80cm×8mm(50张/包)。熔喷聚丙烯材料，吸收量为自重10倍以上，浸油速度&lt;20秒，灰份值&lt;0.02%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活性炭（核心产品）</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25㎏/袋（颗粒状￠2-4mm）有效处理污物，清洁水质。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1）比表面积≥850m2/g。（2）苯吸附值≥450mg/g。（3）碘吸附值≥850mg/g。（4）强度＞92%。（5）水份≤5%（6）颗粒：2-4mm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吸油毡</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1.2m*2.4m*5mm（15张/包）PP-2型聚丙烯油毡，吸油性大于自重的10倍以上，吸水性小于自身重量的10%，持油性油保持率80%以上，吸油毡可反复使用，长期保存不变质；熔点165-170℃，使用温度120℃以下。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絮凝剂</w:t>
                  </w:r>
                  <w:r>
                    <w:rPr>
                      <w:rFonts w:ascii="仿宋_GB2312" w:hAnsi="仿宋_GB2312" w:cs="仿宋_GB2312" w:eastAsia="仿宋_GB2312"/>
                      <w:sz w:val="21"/>
                    </w:rPr>
                    <w:t>(PAFC)</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25㎏/袋。固体聚合硫酸铁、硫酸铁含20%以上、ph值2-3，外观与性状:黄色或红褐色无定形粉末或颗粒状固体；pH(10g/L水溶液): 2-3，溶解性:易溶于水、醇、氯仿、</w:t>
                  </w:r>
                  <w:r>
                    <w:rPr>
                      <w:rFonts w:ascii="仿宋_GB2312" w:hAnsi="仿宋_GB2312" w:cs="仿宋_GB2312" w:eastAsia="仿宋_GB2312"/>
                      <w:sz w:val="21"/>
                    </w:rPr>
                    <w:t>四氯化碳</w:t>
                  </w:r>
                  <w:r>
                    <w:rPr>
                      <w:rFonts w:ascii="仿宋_GB2312" w:hAnsi="仿宋_GB2312" w:cs="仿宋_GB2312" w:eastAsia="仿宋_GB2312"/>
                      <w:sz w:val="21"/>
                    </w:rPr>
                    <w:t>，微溶于</w:t>
                  </w:r>
                  <w:r>
                    <w:rPr>
                      <w:rFonts w:ascii="仿宋_GB2312" w:hAnsi="仿宋_GB2312" w:cs="仿宋_GB2312" w:eastAsia="仿宋_GB2312"/>
                      <w:sz w:val="21"/>
                    </w:rPr>
                    <w:t>苯</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签订合同后，20日内中标单位完成陕西省生态环境厅环境应急物资采购工作，按省生态环境厅要求完成应急物资采购储备工作。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（1）项目完成后，中标人向采购人提交验收申请。 （2）采购人收到验收申请后组织验收，验收时中标人应无条件予以配合并提供验收所需的全部资料，若中标人不配合或者未按合同要求提供服务的，采购人将拒绝验收。 （3）验收合格之前，货物损坏、丢失的风险、运输造成的质量问题由中标人负责，损失由中标人承担。 （4）验收依据：招标文件、投标文件、合同文本、国内相应的标准、规范。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项目验收合格无质量问题后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（3）时间迟延的，违约方向对方承担违约责任。产品质量问题违约的，除了按照迟延时间计算违约金外，另可以采取退货、换货等方式，由供应商承担一切费用。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负责办理将货物或服务运抵交货服务地点的一切事项，并完成与合同履约相关的工作。凡涉及的包装、运输、培训、税金、售后服务、验收等，所有费用一次性计入投标总价。合同履约过程中采购人不再支付其他额外费用。 2.售后响应时间：接到采购人售后要求后，2小时内远程响应，12小时内给出解决方案，若远程无法解决问题48小时内安排专人到达现场处理。 3.技术培训要求： 1）培训地点：陕西省生态环境厅； 2）培训对象：采购人指定的技术人员及管理人员； 3）培训人数及时间：由采购人根据项目进度决定； 4）培训内容：产品使用方法、使用原理等方面； 5）培训目的：熟练操作产品，熟悉存储方式。 4.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担。 5.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6.如提交保函，建议至少提前一个工作日将保函正本送至采购代理机构，如提供电子保函，应将电子保函发送至代理机构指定邮箱deqinlh@126.com。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保证金汇款声明函 分项报价表 商务应答表 控股管理关系 法定代表人授权书 投标人应提交的相关资格证明材料 投标函 服务方案 标的清单 非联合体不分包投标声明 投标文件封面 近三年无重大违法 书面声明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保证金汇款声明函 分项报价表 商务应答表 控股管理关系 法定代表人授权书 投标人应提交的相关资格证明材料 投标函 服务方案 标的清单 非联合体不分包投标声明 投标文件封面 近三年无重大违法 书面声明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分项报价表 商务应答表 控股管理关系 法定代表人授权书 投标函 服务方案 标的清单 非联合体不分包投标声明 投标文件封面 近三年无重大违法 书面声明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投标文件中满足所有指标（等于或优于最低需求指标）要求计15分；其中“核心产品”每负偏离一个指标扣2分，其他产品每负偏离一个指标扣1分，扣完为止，不计负分，正偏离不加分。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产品渠道来源</w:t>
            </w:r>
          </w:p>
        </w:tc>
        <w:tc>
          <w:tcPr>
            <w:tcW w:type="dxa" w:w="2492"/>
          </w:tcPr>
          <w:p>
            <w:pPr>
              <w:pStyle w:val="null3"/>
            </w:pPr>
            <w:r>
              <w:rPr>
                <w:rFonts w:ascii="仿宋_GB2312" w:hAnsi="仿宋_GB2312" w:cs="仿宋_GB2312" w:eastAsia="仿宋_GB2312"/>
              </w:rPr>
              <w:t>避免出现侵权等行为，投标人所投产品应货源正规，提供不限于厂家授权、代理协议等证明材料，此项满分8分： 1.投标产品来源渠道明确，证明材料中品牌型号与投标产品相对应计8分； 2.投标产品来源渠道不明确或证明材料中的品牌型号与投标产品不能完全对应计5分； 3.投标产品无来源证明，或证明材料与投标产品完全不对应，仅提供有投标产品品牌型号清单计3分，未提供不计分。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针对本项目提出容易出错或忽略的重点、难点分析②针对所提出的重点、难点有相应的解决方案。此项共2项，各项方案内容完全满足采购需求计3分；方案内容基本满足但不完善计2分；方案内容不详尽或不适用于本项目计1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针对本项目提供①项目进度安排②组织协调措施。此项共2项，各项方案内容完全满足采购需求计3分；方案内容基本满足但不完善计2分；方案内容不详尽或不适用于本项目计1分；满分6分，未提供不计分。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应急及质量控制措施</w:t>
            </w:r>
          </w:p>
        </w:tc>
        <w:tc>
          <w:tcPr>
            <w:tcW w:type="dxa" w:w="2492"/>
          </w:tcPr>
          <w:p>
            <w:pPr>
              <w:pStyle w:val="null3"/>
            </w:pPr>
            <w:r>
              <w:rPr>
                <w:rFonts w:ascii="仿宋_GB2312" w:hAnsi="仿宋_GB2312" w:cs="仿宋_GB2312" w:eastAsia="仿宋_GB2312"/>
              </w:rPr>
              <w:t>针对本项目提供①应急方案及措施②质量问题补救措施③运输措施④验收措施。此项共4项，各项内容完全满足采购需求计2分；内容基本满足但不完善计1分；内容不详尽或不适用于本项目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拟投入本项目人员须为投标单位在职人员，提供证明材料，否则不计分。1.提供人员在10人（含）及以上的计8分；2.提供6人（含）及以上-10人以下计5分；3.提供3人（ 含）及以上-6人以下计3分；4.不足3人不计分。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内容包含：①售后服务体系情况②售后服务人员安排③售后服务响应时间与处理时间④售后服务内容和操作流程⑤售后服务方式⑥售后服务保证措施。此项共6项，各项内容完全满足采购需求计1.5分；内容基本满足但不完善计1分；内容不详尽或不适用于本项目计0.5分；满分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培训服务包含：①培训方案②培训内容③培训计划④培训措施承诺。此项共4项，各项内容完全满足采购需求计1.5分；内容基本满足但不完善计1分；内容不详尽或不适用于本项目计0.5分；满分6分，未提供不计分。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提供2022年1月1日至今同类项目业绩（以合同签订时间为准），提供完整合同复印件（扫描件）加盖投标人公章，每份计2分，最高得4分。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30x(评标基准价/投标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残疾人福利性单位声明函.pdf 中小企业声明函.pdf 产品技术参数表.docx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详见附件：残疾人福利性单位声明函.pdf</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详见附件：中小企业声明函.pdf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