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ind w:left="2705"/>
        <w:rPr>
          <w:rFonts w:hint="eastAsia" w:ascii="黑体" w:hAnsi="黑体" w:eastAsia="黑体" w:cs="黑体"/>
          <w:sz w:val="39"/>
          <w:szCs w:val="39"/>
        </w:rPr>
      </w:pPr>
      <w:r>
        <w:rPr>
          <w:rFonts w:hint="eastAsia" w:ascii="黑体" w:hAnsi="黑体" w:eastAsia="黑体" w:cs="黑体"/>
          <w:b/>
          <w:bCs/>
          <w:spacing w:val="16"/>
          <w:sz w:val="39"/>
          <w:szCs w:val="39"/>
        </w:rPr>
        <w:t>拟签订合同文本</w:t>
      </w:r>
    </w:p>
    <w:p w14:paraId="4AB382F3">
      <w:pPr>
        <w:pStyle w:val="13"/>
        <w:ind w:firstLine="960"/>
        <w:jc w:val="center"/>
        <w:rPr>
          <w:rFonts w:hint="eastAsia" w:ascii="黑体" w:hAnsi="黑体" w:eastAsia="黑体" w:cs="黑体"/>
          <w:b/>
          <w:bCs/>
        </w:rPr>
      </w:pPr>
      <w:r>
        <w:rPr>
          <w:rFonts w:hint="eastAsia" w:ascii="黑体" w:hAnsi="黑体" w:eastAsia="黑体" w:cs="黑体"/>
          <w:b/>
          <w:bCs/>
          <w:sz w:val="36"/>
          <w:szCs w:val="36"/>
          <w:lang w:val="en-US" w:eastAsia="zh-CN"/>
        </w:rPr>
        <w:br w:type="textWrapping"/>
      </w:r>
      <w:r>
        <w:rPr>
          <w:rFonts w:hint="eastAsia" w:ascii="黑体" w:hAnsi="黑体" w:eastAsia="黑体" w:cs="黑体"/>
          <w:b/>
          <w:bCs/>
        </w:rPr>
        <w:t>（此合同只作为参考，最终签订的合同以采购人确定的合同内容为准）</w:t>
      </w:r>
    </w:p>
    <w:p w14:paraId="376F0246">
      <w:pPr>
        <w:keepNext w:val="0"/>
        <w:keepLines w:val="0"/>
        <w:pageBreakBefore w:val="0"/>
        <w:widowControl w:val="0"/>
        <w:kinsoku/>
        <w:wordWrap/>
        <w:overflowPunct/>
        <w:topLinePunct w:val="0"/>
        <w:autoSpaceDE/>
        <w:autoSpaceDN/>
        <w:bidi w:val="0"/>
        <w:adjustRightInd/>
        <w:snapToGrid/>
        <w:spacing w:before="4" w:line="480" w:lineRule="exact"/>
        <w:textAlignment w:val="auto"/>
        <w:rPr>
          <w:rFonts w:hint="eastAsia" w:ascii="黑体" w:hAnsi="黑体" w:eastAsia="黑体" w:cs="黑体"/>
          <w:sz w:val="22"/>
          <w:szCs w:val="22"/>
          <w:highlight w:val="none"/>
        </w:rPr>
      </w:pPr>
    </w:p>
    <w:p w14:paraId="284E9AEF">
      <w:pPr>
        <w:wordWrap/>
        <w:jc w:val="center"/>
        <w:rPr>
          <w:rFonts w:hint="eastAsia" w:ascii="黑体" w:hAnsi="黑体" w:eastAsia="黑体" w:cs="黑体"/>
          <w:b/>
          <w:color w:val="auto"/>
          <w:kern w:val="44"/>
          <w:sz w:val="28"/>
          <w:szCs w:val="28"/>
          <w:highlight w:val="yellow"/>
          <w:lang w:val="en-US" w:eastAsia="zh-CN" w:bidi="ar-SA"/>
        </w:rPr>
      </w:pPr>
    </w:p>
    <w:p w14:paraId="5533F203">
      <w:pPr>
        <w:wordWrap/>
        <w:jc w:val="center"/>
        <w:rPr>
          <w:rFonts w:hint="eastAsia" w:ascii="黑体" w:hAnsi="黑体" w:eastAsia="黑体" w:cs="黑体"/>
          <w:b/>
          <w:color w:val="auto"/>
          <w:kern w:val="44"/>
          <w:sz w:val="28"/>
          <w:szCs w:val="28"/>
          <w:highlight w:val="yellow"/>
          <w:lang w:val="en-US" w:eastAsia="zh-CN" w:bidi="ar-SA"/>
        </w:rPr>
      </w:pPr>
    </w:p>
    <w:p w14:paraId="7604495B">
      <w:pPr>
        <w:wordWrap/>
        <w:jc w:val="center"/>
        <w:rPr>
          <w:rFonts w:hint="eastAsia" w:ascii="黑体" w:hAnsi="黑体" w:eastAsia="黑体" w:cs="黑体"/>
          <w:b/>
          <w:color w:val="auto"/>
          <w:kern w:val="44"/>
          <w:sz w:val="28"/>
          <w:szCs w:val="28"/>
          <w:highlight w:val="yellow"/>
          <w:lang w:val="en-US" w:eastAsia="zh-CN" w:bidi="ar-SA"/>
        </w:rPr>
      </w:pPr>
    </w:p>
    <w:p w14:paraId="437BA672">
      <w:pPr>
        <w:widowControl/>
        <w:wordWrap/>
        <w:spacing w:line="480" w:lineRule="exact"/>
        <w:jc w:val="center"/>
        <w:textAlignment w:val="baseline"/>
        <w:rPr>
          <w:rFonts w:hint="eastAsia" w:ascii="黑体" w:hAnsi="黑体" w:eastAsia="黑体" w:cs="黑体"/>
          <w:b/>
          <w:color w:val="auto"/>
          <w:kern w:val="44"/>
          <w:sz w:val="28"/>
          <w:szCs w:val="28"/>
          <w:highlight w:val="none"/>
          <w:lang w:val="en-US" w:eastAsia="zh-CN" w:bidi="ar-SA"/>
        </w:rPr>
      </w:pPr>
      <w:r>
        <w:rPr>
          <w:rFonts w:hint="eastAsia" w:ascii="黑体" w:hAnsi="黑体" w:eastAsia="黑体" w:cs="黑体"/>
          <w:bCs/>
          <w:sz w:val="28"/>
          <w:szCs w:val="28"/>
          <w:highlight w:val="none"/>
        </w:rPr>
        <w:t>_____</w:t>
      </w:r>
      <w:r>
        <w:rPr>
          <w:rFonts w:hint="eastAsia" w:ascii="黑体" w:hAnsi="黑体" w:eastAsia="黑体" w:cs="黑体"/>
          <w:b/>
          <w:bCs w:val="0"/>
          <w:sz w:val="28"/>
          <w:szCs w:val="28"/>
          <w:highlight w:val="none"/>
        </w:rPr>
        <w:t>项目</w:t>
      </w:r>
      <w:r>
        <w:rPr>
          <w:rFonts w:hint="eastAsia" w:ascii="黑体" w:hAnsi="黑体" w:eastAsia="黑体" w:cs="黑体"/>
          <w:b/>
          <w:bCs w:val="0"/>
          <w:color w:val="auto"/>
          <w:kern w:val="44"/>
          <w:sz w:val="28"/>
          <w:szCs w:val="28"/>
          <w:highlight w:val="none"/>
          <w:lang w:val="en-US" w:eastAsia="zh-CN" w:bidi="ar-SA"/>
        </w:rPr>
        <w:t>合同</w:t>
      </w:r>
    </w:p>
    <w:p w14:paraId="537B3AA7">
      <w:pPr>
        <w:pStyle w:val="5"/>
        <w:wordWrap/>
        <w:spacing w:line="243" w:lineRule="auto"/>
        <w:rPr>
          <w:rFonts w:hint="eastAsia" w:ascii="黑体" w:hAnsi="黑体" w:eastAsia="黑体" w:cs="黑体"/>
        </w:rPr>
      </w:pPr>
    </w:p>
    <w:p w14:paraId="4F213AFA">
      <w:pPr>
        <w:pStyle w:val="5"/>
        <w:wordWrap/>
        <w:spacing w:line="243" w:lineRule="auto"/>
        <w:rPr>
          <w:rFonts w:hint="eastAsia" w:ascii="黑体" w:hAnsi="黑体" w:eastAsia="黑体" w:cs="黑体"/>
        </w:rPr>
      </w:pPr>
    </w:p>
    <w:p w14:paraId="5DFA270D">
      <w:pPr>
        <w:pStyle w:val="5"/>
        <w:wordWrap/>
        <w:spacing w:line="244" w:lineRule="auto"/>
        <w:rPr>
          <w:rFonts w:hint="eastAsia" w:ascii="黑体" w:hAnsi="黑体" w:eastAsia="黑体" w:cs="黑体"/>
        </w:rPr>
      </w:pPr>
    </w:p>
    <w:p w14:paraId="08ED1393">
      <w:pPr>
        <w:pStyle w:val="5"/>
        <w:keepNext w:val="0"/>
        <w:keepLines w:val="0"/>
        <w:pageBreakBefore w:val="0"/>
        <w:wordWrap/>
        <w:overflowPunct/>
        <w:topLinePunct w:val="0"/>
        <w:bidi w:val="0"/>
        <w:spacing w:line="600" w:lineRule="exact"/>
        <w:rPr>
          <w:rFonts w:hint="eastAsia" w:ascii="黑体" w:hAnsi="黑体" w:eastAsia="黑体" w:cs="黑体"/>
          <w:szCs w:val="20"/>
          <w:lang w:val="en-US" w:eastAsia="zh-Hans"/>
        </w:rPr>
      </w:pPr>
    </w:p>
    <w:p w14:paraId="4D480788">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黑体" w:hAnsi="黑体" w:eastAsia="黑体" w:cs="黑体"/>
          <w:szCs w:val="20"/>
          <w:lang w:val="en-US" w:eastAsia="zh-CN"/>
        </w:rPr>
      </w:pPr>
      <w:r>
        <w:rPr>
          <w:rFonts w:hint="eastAsia" w:ascii="黑体" w:hAnsi="黑体" w:eastAsia="黑体" w:cs="黑体"/>
          <w:szCs w:val="20"/>
          <w:lang w:val="en-US" w:eastAsia="zh-Hans"/>
        </w:rPr>
        <w:t>采购项目名称：</w:t>
      </w:r>
      <w:r>
        <w:rPr>
          <w:rFonts w:hint="eastAsia" w:ascii="黑体" w:hAnsi="黑体" w:eastAsia="黑体" w:cs="黑体"/>
          <w:szCs w:val="20"/>
          <w:lang w:val="en-US" w:eastAsia="zh-CN"/>
        </w:rPr>
        <w:t xml:space="preserve"> </w:t>
      </w:r>
    </w:p>
    <w:p w14:paraId="58EDF395">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黑体" w:hAnsi="黑体" w:eastAsia="黑体" w:cs="黑体"/>
          <w:szCs w:val="20"/>
          <w:lang w:val="en-US" w:eastAsia="zh-CN"/>
        </w:rPr>
      </w:pPr>
      <w:r>
        <w:rPr>
          <w:rFonts w:hint="eastAsia" w:ascii="黑体" w:hAnsi="黑体" w:eastAsia="黑体" w:cs="黑体"/>
          <w:szCs w:val="20"/>
          <w:lang w:val="en-US" w:eastAsia="zh-Hans"/>
        </w:rPr>
        <w:t>采购项目编号：</w:t>
      </w:r>
      <w:r>
        <w:rPr>
          <w:rFonts w:hint="eastAsia" w:ascii="黑体" w:hAnsi="黑体" w:eastAsia="黑体" w:cs="黑体"/>
          <w:szCs w:val="20"/>
          <w:lang w:val="en-US" w:eastAsia="zh-CN"/>
        </w:rPr>
        <w:t xml:space="preserve"> </w:t>
      </w:r>
    </w:p>
    <w:p w14:paraId="724670C8">
      <w:pPr>
        <w:pStyle w:val="5"/>
        <w:wordWrap/>
        <w:spacing w:line="254" w:lineRule="auto"/>
        <w:rPr>
          <w:rFonts w:hint="eastAsia" w:ascii="黑体" w:hAnsi="黑体" w:eastAsia="黑体" w:cs="黑体"/>
          <w:sz w:val="19"/>
          <w:szCs w:val="19"/>
        </w:rPr>
      </w:pPr>
    </w:p>
    <w:p w14:paraId="61915044">
      <w:pPr>
        <w:pStyle w:val="5"/>
        <w:wordWrap/>
        <w:spacing w:line="254" w:lineRule="auto"/>
        <w:rPr>
          <w:rFonts w:hint="eastAsia" w:ascii="黑体" w:hAnsi="黑体" w:eastAsia="黑体" w:cs="黑体"/>
          <w:sz w:val="19"/>
          <w:szCs w:val="19"/>
        </w:rPr>
      </w:pPr>
    </w:p>
    <w:p w14:paraId="62B4360E">
      <w:pPr>
        <w:pStyle w:val="5"/>
        <w:wordWrap/>
        <w:spacing w:line="255" w:lineRule="auto"/>
        <w:rPr>
          <w:rFonts w:hint="eastAsia" w:ascii="黑体" w:hAnsi="黑体" w:eastAsia="黑体" w:cs="黑体"/>
          <w:sz w:val="19"/>
          <w:szCs w:val="19"/>
        </w:rPr>
      </w:pPr>
    </w:p>
    <w:p w14:paraId="710BB386">
      <w:pPr>
        <w:pStyle w:val="5"/>
        <w:wordWrap/>
        <w:rPr>
          <w:rFonts w:hint="eastAsia" w:ascii="黑体" w:hAnsi="黑体" w:eastAsia="黑体" w:cs="黑体"/>
          <w:sz w:val="19"/>
          <w:szCs w:val="19"/>
        </w:rPr>
      </w:pPr>
    </w:p>
    <w:p w14:paraId="726427B8">
      <w:pPr>
        <w:wordWrap/>
        <w:rPr>
          <w:rFonts w:hint="eastAsia" w:ascii="黑体" w:hAnsi="黑体" w:eastAsia="黑体" w:cs="黑体"/>
          <w:sz w:val="19"/>
          <w:szCs w:val="19"/>
        </w:rPr>
      </w:pPr>
    </w:p>
    <w:p w14:paraId="1AF26C0E">
      <w:pPr>
        <w:pStyle w:val="5"/>
        <w:wordWrap/>
        <w:rPr>
          <w:rFonts w:hint="eastAsia" w:ascii="黑体" w:hAnsi="黑体" w:eastAsia="黑体" w:cs="黑体"/>
          <w:sz w:val="19"/>
          <w:szCs w:val="19"/>
        </w:rPr>
      </w:pPr>
    </w:p>
    <w:p w14:paraId="7255E6D6">
      <w:pPr>
        <w:wordWrap/>
        <w:rPr>
          <w:rFonts w:hint="eastAsia" w:ascii="黑体" w:hAnsi="黑体" w:eastAsia="黑体" w:cs="黑体"/>
          <w:sz w:val="19"/>
          <w:szCs w:val="19"/>
        </w:rPr>
      </w:pPr>
    </w:p>
    <w:p w14:paraId="637C521D">
      <w:pPr>
        <w:pStyle w:val="5"/>
        <w:wordWrap/>
        <w:rPr>
          <w:rFonts w:hint="eastAsia" w:ascii="黑体" w:hAnsi="黑体" w:eastAsia="黑体" w:cs="黑体"/>
          <w:sz w:val="19"/>
          <w:szCs w:val="19"/>
        </w:rPr>
      </w:pPr>
    </w:p>
    <w:p w14:paraId="44D2A27A">
      <w:pPr>
        <w:pStyle w:val="5"/>
        <w:wordWrap/>
        <w:spacing w:line="255" w:lineRule="auto"/>
        <w:rPr>
          <w:rFonts w:hint="eastAsia" w:ascii="黑体" w:hAnsi="黑体" w:eastAsia="黑体" w:cs="黑体"/>
          <w:sz w:val="19"/>
          <w:szCs w:val="19"/>
        </w:rPr>
      </w:pPr>
    </w:p>
    <w:p w14:paraId="3D60512C">
      <w:pPr>
        <w:pStyle w:val="5"/>
        <w:wordWrap/>
        <w:spacing w:line="255" w:lineRule="auto"/>
        <w:rPr>
          <w:rFonts w:hint="eastAsia" w:ascii="黑体" w:hAnsi="黑体" w:eastAsia="黑体" w:cs="黑体"/>
          <w:sz w:val="19"/>
          <w:szCs w:val="19"/>
        </w:rPr>
      </w:pPr>
    </w:p>
    <w:p w14:paraId="7035BC46">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黑体" w:hAnsi="黑体" w:eastAsia="黑体" w:cs="黑体"/>
          <w:szCs w:val="20"/>
          <w:lang w:val="en-US" w:eastAsia="zh-CN"/>
        </w:rPr>
      </w:pPr>
      <w:r>
        <w:rPr>
          <w:rFonts w:hint="eastAsia" w:ascii="黑体" w:hAnsi="黑体" w:eastAsia="黑体" w:cs="黑体"/>
          <w:szCs w:val="20"/>
          <w:lang w:val="en-US" w:eastAsia="zh-Hans"/>
        </w:rPr>
        <w:t>甲方：</w:t>
      </w:r>
      <w:r>
        <w:rPr>
          <w:rFonts w:hint="eastAsia" w:ascii="黑体" w:hAnsi="黑体" w:eastAsia="黑体" w:cs="黑体"/>
          <w:szCs w:val="20"/>
          <w:lang w:val="en-US" w:eastAsia="zh-CN"/>
        </w:rPr>
        <w:t xml:space="preserve"> </w:t>
      </w:r>
    </w:p>
    <w:p w14:paraId="090C3420">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黑体" w:hAnsi="黑体" w:eastAsia="黑体" w:cs="黑体"/>
          <w:szCs w:val="20"/>
          <w:lang w:val="en-US" w:eastAsia="zh-Hans"/>
        </w:rPr>
      </w:pPr>
      <w:r>
        <w:rPr>
          <w:rFonts w:hint="eastAsia" w:ascii="黑体" w:hAnsi="黑体" w:eastAsia="黑体" w:cs="黑体"/>
          <w:szCs w:val="20"/>
          <w:lang w:val="en-US" w:eastAsia="zh-Hans"/>
        </w:rPr>
        <w:t>乙方：</w:t>
      </w:r>
    </w:p>
    <w:p w14:paraId="44A48814">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黑体" w:hAnsi="黑体" w:eastAsia="黑体" w:cs="黑体"/>
          <w:szCs w:val="20"/>
          <w:lang w:val="en-US" w:eastAsia="zh-Hans"/>
        </w:rPr>
      </w:pPr>
      <w:r>
        <w:rPr>
          <w:rFonts w:hint="eastAsia" w:ascii="黑体" w:hAnsi="黑体" w:eastAsia="黑体" w:cs="黑体"/>
          <w:szCs w:val="20"/>
          <w:lang w:val="en-US" w:eastAsia="zh-Hans"/>
        </w:rPr>
        <w:t>日期：</w:t>
      </w:r>
    </w:p>
    <w:p w14:paraId="2DA4D2C3">
      <w:pPr>
        <w:wordWrap/>
        <w:spacing w:line="219" w:lineRule="auto"/>
        <w:rPr>
          <w:rFonts w:hint="eastAsia" w:ascii="黑体" w:hAnsi="黑体" w:eastAsia="黑体" w:cs="黑体"/>
          <w:sz w:val="19"/>
          <w:szCs w:val="19"/>
        </w:rPr>
        <w:sectPr>
          <w:footerReference r:id="rId3" w:type="default"/>
          <w:pgSz w:w="11900" w:h="16840"/>
          <w:pgMar w:top="1431" w:right="1785" w:bottom="1429" w:left="1785" w:header="0" w:footer="0" w:gutter="0"/>
          <w:pgNumType w:fmt="numberInDash"/>
          <w:cols w:space="720" w:num="1"/>
        </w:sectPr>
      </w:pPr>
    </w:p>
    <w:p w14:paraId="29C66D3C">
      <w:pPr>
        <w:keepNext w:val="0"/>
        <w:keepLines w:val="0"/>
        <w:pageBreakBefore w:val="0"/>
        <w:widowControl w:val="0"/>
        <w:kinsoku/>
        <w:wordWrap/>
        <w:overflowPunct/>
        <w:topLinePunct w:val="0"/>
        <w:autoSpaceDE/>
        <w:autoSpaceDN/>
        <w:bidi w:val="0"/>
        <w:adjustRightInd/>
        <w:snapToGrid/>
        <w:spacing w:beforeAutospacing="0" w:afterAutospacing="0" w:line="480" w:lineRule="exact"/>
        <w:jc w:val="center"/>
        <w:textAlignment w:val="auto"/>
        <w:rPr>
          <w:rFonts w:hint="eastAsia" w:ascii="黑体" w:hAnsi="黑体" w:eastAsia="黑体" w:cs="黑体"/>
          <w:b/>
          <w:caps w:val="0"/>
          <w:color w:val="000000" w:themeColor="text1"/>
          <w:sz w:val="28"/>
          <w:szCs w:val="28"/>
          <w:highlight w:val="none"/>
          <w14:textFill>
            <w14:solidFill>
              <w14:schemeClr w14:val="tx1"/>
            </w14:solidFill>
          </w14:textFill>
        </w:rPr>
      </w:pPr>
      <w:r>
        <w:rPr>
          <w:rFonts w:hint="eastAsia" w:ascii="黑体" w:hAnsi="黑体" w:eastAsia="黑体" w:cs="黑体"/>
          <w:b/>
          <w:caps w:val="0"/>
          <w:color w:val="000000" w:themeColor="text1"/>
          <w:sz w:val="28"/>
          <w:szCs w:val="28"/>
          <w:highlight w:val="none"/>
          <w:lang w:eastAsia="zh-CN"/>
          <w14:textFill>
            <w14:solidFill>
              <w14:schemeClr w14:val="tx1"/>
            </w14:solidFill>
          </w14:textFill>
        </w:rPr>
        <w:t>服务</w:t>
      </w:r>
      <w:r>
        <w:rPr>
          <w:rFonts w:hint="eastAsia" w:ascii="黑体" w:hAnsi="黑体" w:eastAsia="黑体" w:cs="黑体"/>
          <w:b/>
          <w:caps w:val="0"/>
          <w:color w:val="000000" w:themeColor="text1"/>
          <w:sz w:val="28"/>
          <w:szCs w:val="28"/>
          <w:highlight w:val="none"/>
          <w14:textFill>
            <w14:solidFill>
              <w14:schemeClr w14:val="tx1"/>
            </w14:solidFill>
          </w14:textFill>
        </w:rPr>
        <w:t>合同</w:t>
      </w:r>
    </w:p>
    <w:p w14:paraId="333297C9">
      <w:pPr>
        <w:keepNext w:val="0"/>
        <w:keepLines w:val="0"/>
        <w:pageBreakBefore w:val="0"/>
        <w:widowControl w:val="0"/>
        <w:shd w:val="clear" w:color="auto" w:fill="FFFFFF"/>
        <w:kinsoku/>
        <w:wordWrap/>
        <w:overflowPunct/>
        <w:topLinePunct w:val="0"/>
        <w:autoSpaceDE/>
        <w:autoSpaceDN/>
        <w:bidi w:val="0"/>
        <w:adjustRightInd/>
        <w:snapToGrid/>
        <w:spacing w:before="58" w:beforeLines="20" w:beforeAutospacing="0" w:afterAutospacing="0" w:line="480" w:lineRule="exact"/>
        <w:ind w:firstLine="381" w:firstLineChars="200"/>
        <w:textAlignment w:val="auto"/>
        <w:rPr>
          <w:rFonts w:hint="eastAsia" w:ascii="黑体" w:hAnsi="黑体" w:eastAsia="黑体" w:cs="黑体"/>
          <w:b/>
          <w:caps w:val="0"/>
          <w:color w:val="000000" w:themeColor="text1"/>
          <w:sz w:val="19"/>
          <w:szCs w:val="19"/>
          <w:highlight w:val="none"/>
          <w14:textFill>
            <w14:solidFill>
              <w14:schemeClr w14:val="tx1"/>
            </w14:solidFill>
          </w14:textFill>
        </w:rPr>
      </w:pPr>
      <w:r>
        <w:rPr>
          <w:rFonts w:hint="eastAsia" w:ascii="黑体" w:hAnsi="黑体" w:eastAsia="黑体" w:cs="黑体"/>
          <w:b/>
          <w:bCs/>
          <w:caps w:val="0"/>
          <w:color w:val="000000" w:themeColor="text1"/>
          <w:sz w:val="19"/>
          <w:szCs w:val="19"/>
          <w:highlight w:val="none"/>
          <w14:textFill>
            <w14:solidFill>
              <w14:schemeClr w14:val="tx1"/>
            </w14:solidFill>
          </w14:textFill>
        </w:rPr>
        <w:t>甲方：</w:t>
      </w:r>
      <w:r>
        <w:rPr>
          <w:rFonts w:hint="eastAsia" w:ascii="黑体" w:hAnsi="黑体" w:eastAsia="黑体" w:cs="黑体"/>
          <w:caps w:val="0"/>
          <w:color w:val="000000" w:themeColor="text1"/>
          <w:sz w:val="19"/>
          <w:szCs w:val="19"/>
          <w:highlight w:val="none"/>
          <w:u w:val="single"/>
          <w14:textFill>
            <w14:solidFill>
              <w14:schemeClr w14:val="tx1"/>
            </w14:solidFill>
          </w14:textFill>
        </w:rPr>
        <w:t xml:space="preserve">     </w:t>
      </w:r>
      <w:r>
        <w:rPr>
          <w:rFonts w:hint="eastAsia" w:ascii="黑体" w:hAnsi="黑体" w:eastAsia="黑体" w:cs="黑体"/>
          <w:b/>
          <w:bCs/>
          <w:caps w:val="0"/>
          <w:color w:val="000000" w:themeColor="text1"/>
          <w:sz w:val="19"/>
          <w:szCs w:val="19"/>
          <w:highlight w:val="none"/>
          <w:u w:val="single"/>
          <w14:textFill>
            <w14:solidFill>
              <w14:schemeClr w14:val="tx1"/>
            </w14:solidFill>
          </w14:textFill>
        </w:rPr>
        <w:t xml:space="preserve">                     </w:t>
      </w:r>
    </w:p>
    <w:p w14:paraId="3BE393F3">
      <w:pPr>
        <w:keepNext w:val="0"/>
        <w:keepLines w:val="0"/>
        <w:pageBreakBefore w:val="0"/>
        <w:widowControl w:val="0"/>
        <w:shd w:val="clear" w:color="auto" w:fill="FFFFFF"/>
        <w:kinsoku/>
        <w:wordWrap/>
        <w:overflowPunct/>
        <w:topLinePunct w:val="0"/>
        <w:autoSpaceDE/>
        <w:autoSpaceDN/>
        <w:bidi w:val="0"/>
        <w:adjustRightInd/>
        <w:snapToGrid/>
        <w:spacing w:before="58" w:beforeLines="20" w:beforeAutospacing="0" w:afterAutospacing="0" w:line="480" w:lineRule="exact"/>
        <w:ind w:firstLine="381" w:firstLineChars="200"/>
        <w:textAlignment w:val="auto"/>
        <w:rPr>
          <w:rFonts w:hint="eastAsia" w:ascii="黑体" w:hAnsi="黑体" w:eastAsia="黑体" w:cs="黑体"/>
          <w:b/>
          <w:caps w:val="0"/>
          <w:color w:val="000000" w:themeColor="text1"/>
          <w:sz w:val="19"/>
          <w:szCs w:val="19"/>
          <w:highlight w:val="none"/>
          <w14:textFill>
            <w14:solidFill>
              <w14:schemeClr w14:val="tx1"/>
            </w14:solidFill>
          </w14:textFill>
        </w:rPr>
      </w:pPr>
      <w:r>
        <w:rPr>
          <w:rFonts w:hint="eastAsia" w:ascii="黑体" w:hAnsi="黑体" w:eastAsia="黑体" w:cs="黑体"/>
          <w:b/>
          <w:bCs/>
          <w:caps w:val="0"/>
          <w:color w:val="000000" w:themeColor="text1"/>
          <w:sz w:val="19"/>
          <w:szCs w:val="19"/>
          <w:highlight w:val="none"/>
          <w14:textFill>
            <w14:solidFill>
              <w14:schemeClr w14:val="tx1"/>
            </w14:solidFill>
          </w14:textFill>
        </w:rPr>
        <w:t>乙方：</w:t>
      </w:r>
      <w:r>
        <w:rPr>
          <w:rFonts w:hint="eastAsia" w:ascii="黑体" w:hAnsi="黑体" w:eastAsia="黑体" w:cs="黑体"/>
          <w:bCs/>
          <w:caps w:val="0"/>
          <w:color w:val="000000" w:themeColor="text1"/>
          <w:sz w:val="19"/>
          <w:szCs w:val="19"/>
          <w:highlight w:val="none"/>
          <w:u w:val="single"/>
          <w14:textFill>
            <w14:solidFill>
              <w14:schemeClr w14:val="tx1"/>
            </w14:solidFill>
          </w14:textFill>
        </w:rPr>
        <w:t xml:space="preserve">                         </w:t>
      </w:r>
      <w:r>
        <w:rPr>
          <w:rFonts w:hint="eastAsia" w:ascii="黑体" w:hAnsi="黑体" w:eastAsia="黑体" w:cs="黑体"/>
          <w:b/>
          <w:bCs/>
          <w:caps w:val="0"/>
          <w:color w:val="000000" w:themeColor="text1"/>
          <w:sz w:val="19"/>
          <w:szCs w:val="19"/>
          <w:highlight w:val="none"/>
          <w:u w:val="single"/>
          <w14:textFill>
            <w14:solidFill>
              <w14:schemeClr w14:val="tx1"/>
            </w14:solidFill>
          </w14:textFill>
        </w:rPr>
        <w:t xml:space="preserve"> </w:t>
      </w:r>
    </w:p>
    <w:p w14:paraId="2BE8F98F">
      <w:pPr>
        <w:keepNext w:val="0"/>
        <w:keepLines w:val="0"/>
        <w:pageBreakBefore w:val="0"/>
        <w:widowControl w:val="0"/>
        <w:kinsoku/>
        <w:wordWrap/>
        <w:overflowPunct/>
        <w:topLinePunct w:val="0"/>
        <w:autoSpaceDE/>
        <w:autoSpaceDN/>
        <w:bidi w:val="0"/>
        <w:adjustRightInd/>
        <w:snapToGrid/>
        <w:spacing w:before="58" w:beforeLines="20" w:beforeAutospacing="0" w:afterAutospacing="0" w:line="480" w:lineRule="exact"/>
        <w:ind w:firstLine="380" w:firstLineChars="200"/>
        <w:textAlignment w:val="auto"/>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依据</w:t>
      </w:r>
      <w:r>
        <w:rPr>
          <w:rFonts w:hint="eastAsia" w:ascii="黑体" w:hAnsi="黑体" w:eastAsia="黑体" w:cs="黑体"/>
          <w:color w:val="000000" w:themeColor="text1"/>
          <w:sz w:val="19"/>
          <w:szCs w:val="19"/>
          <w:highlight w:val="none"/>
          <w:lang w:eastAsia="zh-CN"/>
          <w14:textFill>
            <w14:solidFill>
              <w14:schemeClr w14:val="tx1"/>
            </w14:solidFill>
          </w14:textFill>
        </w:rPr>
        <w:t>《中华人民共和国政府采购法》、</w:t>
      </w:r>
      <w:r>
        <w:rPr>
          <w:rFonts w:hint="eastAsia" w:ascii="黑体" w:hAnsi="黑体" w:eastAsia="黑体" w:cs="黑体"/>
          <w:color w:val="000000" w:themeColor="text1"/>
          <w:sz w:val="19"/>
          <w:szCs w:val="19"/>
          <w:highlight w:val="none"/>
          <w14:textFill>
            <w14:solidFill>
              <w14:schemeClr w14:val="tx1"/>
            </w14:solidFill>
          </w14:textFill>
        </w:rPr>
        <w:t>《中华人民共和国</w:t>
      </w:r>
      <w:r>
        <w:rPr>
          <w:rFonts w:hint="eastAsia" w:ascii="黑体" w:hAnsi="黑体" w:eastAsia="黑体" w:cs="黑体"/>
          <w:color w:val="000000" w:themeColor="text1"/>
          <w:sz w:val="19"/>
          <w:szCs w:val="19"/>
          <w:highlight w:val="none"/>
          <w:lang w:val="en-US" w:eastAsia="zh-CN"/>
          <w14:textFill>
            <w14:solidFill>
              <w14:schemeClr w14:val="tx1"/>
            </w14:solidFill>
          </w14:textFill>
        </w:rPr>
        <w:t>民法典</w:t>
      </w:r>
      <w:r>
        <w:rPr>
          <w:rFonts w:hint="eastAsia" w:ascii="黑体" w:hAnsi="黑体" w:eastAsia="黑体" w:cs="黑体"/>
          <w:color w:val="000000" w:themeColor="text1"/>
          <w:sz w:val="19"/>
          <w:szCs w:val="19"/>
          <w:highlight w:val="none"/>
          <w14:textFill>
            <w14:solidFill>
              <w14:schemeClr w14:val="tx1"/>
            </w14:solidFill>
          </w14:textFill>
        </w:rPr>
        <w:t>》与项目行业有关的法律法规，以及</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项目名称</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（项目编号：</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采购包号： </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的《</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r>
        <w:rPr>
          <w:rFonts w:hint="eastAsia" w:ascii="黑体" w:hAnsi="黑体" w:eastAsia="黑体" w:cs="黑体"/>
          <w:color w:val="000000" w:themeColor="text1"/>
          <w:sz w:val="19"/>
          <w:szCs w:val="19"/>
          <w:highlight w:val="none"/>
          <w14:textFill>
            <w14:solidFill>
              <w14:schemeClr w14:val="tx1"/>
            </w14:solidFill>
          </w14:textFill>
        </w:rPr>
        <w:t>》，乙方的《</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r>
        <w:rPr>
          <w:rFonts w:hint="eastAsia" w:ascii="黑体" w:hAnsi="黑体" w:eastAsia="黑体" w:cs="黑体"/>
          <w:color w:val="000000" w:themeColor="text1"/>
          <w:sz w:val="19"/>
          <w:szCs w:val="19"/>
          <w:highlight w:val="none"/>
          <w14:textFill>
            <w14:solidFill>
              <w14:schemeClr w14:val="tx1"/>
            </w14:solidFill>
          </w14:textFill>
        </w:rPr>
        <w:t>》及《</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r>
        <w:rPr>
          <w:rFonts w:hint="eastAsia" w:ascii="黑体" w:hAnsi="黑体" w:eastAsia="黑体" w:cs="黑体"/>
          <w:color w:val="000000" w:themeColor="text1"/>
          <w:sz w:val="19"/>
          <w:szCs w:val="19"/>
          <w:highlight w:val="none"/>
          <w14:textFill>
            <w14:solidFill>
              <w14:schemeClr w14:val="tx1"/>
            </w14:solidFill>
          </w14:textFill>
        </w:rPr>
        <w:t>》，甲、乙双方同意签订本合同。详细技术说明及其他有关合同项目的特定信息由合同附件予以说明，合同附件及本项目的《</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r>
        <w:rPr>
          <w:rFonts w:hint="eastAsia" w:ascii="黑体" w:hAnsi="黑体" w:eastAsia="黑体" w:cs="黑体"/>
          <w:color w:val="000000" w:themeColor="text1"/>
          <w:sz w:val="19"/>
          <w:szCs w:val="19"/>
          <w:highlight w:val="none"/>
          <w14:textFill>
            <w14:solidFill>
              <w14:schemeClr w14:val="tx1"/>
            </w14:solidFill>
          </w14:textFill>
        </w:rPr>
        <w:t xml:space="preserve">》等均为本合同的组成部分。 </w:t>
      </w:r>
    </w:p>
    <w:p w14:paraId="24813BA3">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项目基本情况</w:t>
      </w:r>
    </w:p>
    <w:p w14:paraId="7B535FEA">
      <w:pPr>
        <w:keepNext w:val="0"/>
        <w:keepLines w:val="0"/>
        <w:pageBreakBefore w:val="0"/>
        <w:widowControl w:val="0"/>
        <w:kinsoku/>
        <w:wordWrap/>
        <w:overflowPunct/>
        <w:topLinePunct w:val="0"/>
        <w:autoSpaceDE/>
        <w:autoSpaceDN/>
        <w:bidi w:val="0"/>
        <w:adjustRightInd/>
        <w:snapToGrid/>
        <w:spacing w:before="58" w:beforeLines="20" w:beforeAutospacing="0" w:afterAutospacing="0" w:line="480" w:lineRule="exact"/>
        <w:ind w:firstLine="0"/>
        <w:textAlignment w:val="auto"/>
        <w:rPr>
          <w:rFonts w:hint="eastAsia" w:ascii="黑体" w:hAnsi="黑体" w:eastAsia="黑体" w:cs="黑体"/>
          <w:b/>
          <w:color w:val="000000" w:themeColor="text1"/>
          <w:sz w:val="19"/>
          <w:szCs w:val="19"/>
          <w:highlight w:val="none"/>
          <w:u w:val="single"/>
          <w14:textFill>
            <w14:solidFill>
              <w14:schemeClr w14:val="tx1"/>
            </w14:solidFill>
          </w14:textFill>
        </w:rPr>
      </w:pPr>
      <w:r>
        <w:rPr>
          <w:rFonts w:hint="eastAsia" w:ascii="黑体" w:hAnsi="黑体" w:eastAsia="黑体" w:cs="黑体"/>
          <w:b/>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t xml:space="preserve">                                   </w:t>
      </w:r>
    </w:p>
    <w:p w14:paraId="33520F25">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合同期限</w:t>
      </w:r>
    </w:p>
    <w:p w14:paraId="7DF661CD">
      <w:pPr>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0" w:firstLineChars="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p w14:paraId="03BF1964">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服务内容与质量标准</w:t>
      </w:r>
    </w:p>
    <w:p w14:paraId="439B2B20">
      <w:pPr>
        <w:keepNext w:val="0"/>
        <w:keepLines w:val="0"/>
        <w:pageBreakBefore w:val="0"/>
        <w:widowControl w:val="0"/>
        <w:numPr>
          <w:ilvl w:val="0"/>
          <w:numId w:val="0"/>
        </w:numPr>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1.</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p w14:paraId="2C9E939F">
      <w:pPr>
        <w:keepNext w:val="0"/>
        <w:keepLines w:val="0"/>
        <w:pageBreakBefore w:val="0"/>
        <w:widowControl w:val="0"/>
        <w:numPr>
          <w:ilvl w:val="0"/>
          <w:numId w:val="0"/>
        </w:numPr>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2.</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p w14:paraId="79ACE5D6">
      <w:pPr>
        <w:keepNext w:val="0"/>
        <w:keepLines w:val="0"/>
        <w:pageBreakBefore w:val="0"/>
        <w:widowControl w:val="0"/>
        <w:numPr>
          <w:ilvl w:val="0"/>
          <w:numId w:val="0"/>
        </w:numPr>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3.</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p w14:paraId="4B92F429">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服务费用及支付方式</w:t>
      </w:r>
    </w:p>
    <w:p w14:paraId="58EA355A">
      <w:pPr>
        <w:keepNext w:val="0"/>
        <w:keepLines w:val="0"/>
        <w:pageBreakBefore w:val="0"/>
        <w:widowControl w:val="0"/>
        <w:numPr>
          <w:ilvl w:val="0"/>
          <w:numId w:val="3"/>
        </w:numPr>
        <w:kinsoku/>
        <w:wordWrap/>
        <w:overflowPunct/>
        <w:topLinePunct w:val="0"/>
        <w:autoSpaceDE/>
        <w:autoSpaceDN/>
        <w:bidi w:val="0"/>
        <w:snapToGrid/>
        <w:spacing w:before="58" w:beforeLines="20" w:beforeAutospacing="0" w:afterAutospacing="0" w:line="480" w:lineRule="exact"/>
        <w:ind w:left="0" w:firstLine="567"/>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14:textFill>
            <w14:solidFill>
              <w14:schemeClr w14:val="tx1"/>
            </w14:solidFill>
          </w14:textFill>
        </w:rPr>
        <w:t>本项目服务费用由以下组成：</w:t>
      </w:r>
    </w:p>
    <w:p w14:paraId="62A645AD">
      <w:pPr>
        <w:pStyle w:val="15"/>
        <w:keepNext w:val="0"/>
        <w:keepLines w:val="0"/>
        <w:pageBreakBefore w:val="0"/>
        <w:widowControl w:val="0"/>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color w:val="000000" w:themeColor="text1"/>
          <w:sz w:val="19"/>
          <w:szCs w:val="19"/>
          <w:highlight w:val="non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p>
    <w:p w14:paraId="0CC015A2">
      <w:pPr>
        <w:keepNext w:val="0"/>
        <w:keepLines w:val="0"/>
        <w:pageBreakBefore w:val="0"/>
        <w:widowControl w:val="0"/>
        <w:numPr>
          <w:ilvl w:val="0"/>
          <w:numId w:val="3"/>
        </w:numPr>
        <w:tabs>
          <w:tab w:val="left" w:pos="780"/>
        </w:tabs>
        <w:kinsoku/>
        <w:wordWrap/>
        <w:overflowPunct/>
        <w:topLinePunct w:val="0"/>
        <w:autoSpaceDE/>
        <w:autoSpaceDN/>
        <w:bidi w:val="0"/>
        <w:snapToGrid/>
        <w:spacing w:before="58" w:beforeLines="20" w:beforeAutospacing="0" w:afterAutospacing="0" w:line="480" w:lineRule="exact"/>
        <w:ind w:left="0" w:firstLine="567"/>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14:textFill>
            <w14:solidFill>
              <w14:schemeClr w14:val="tx1"/>
            </w14:solidFill>
          </w14:textFill>
        </w:rPr>
        <w:t xml:space="preserve">服务费支付方式： </w:t>
      </w:r>
    </w:p>
    <w:p w14:paraId="36517046">
      <w:pPr>
        <w:pStyle w:val="15"/>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left="482" w:hanging="381" w:hangingChars="200"/>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b/>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t xml:space="preserve">                                            </w:t>
      </w:r>
    </w:p>
    <w:p w14:paraId="1B619ECB">
      <w:pPr>
        <w:pStyle w:val="15"/>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left="0" w:leftChars="0"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kern w:val="2"/>
          <w:sz w:val="19"/>
          <w:szCs w:val="19"/>
          <w:highlight w:val="none"/>
          <w:lang w:val="en-US" w:eastAsia="zh-CN" w:bidi="ar-SA"/>
          <w14:textFill>
            <w14:solidFill>
              <w14:schemeClr w14:val="tx1"/>
            </w14:solidFill>
          </w14:textFill>
        </w:rPr>
        <w:t>若成交人为中小企业，本合同所约定的支付条款将按《保障中小企业款项支付条例》的规定作出相应调整。</w:t>
      </w:r>
      <w:r>
        <w:rPr>
          <w:rFonts w:hint="eastAsia" w:ascii="黑体" w:hAnsi="黑体" w:eastAsia="黑体" w:cs="黑体"/>
          <w:color w:val="000000" w:themeColor="text1"/>
          <w:sz w:val="19"/>
          <w:szCs w:val="19"/>
          <w:highlight w:val="none"/>
          <w14:textFill>
            <w14:solidFill>
              <w14:schemeClr w14:val="tx1"/>
            </w14:solidFill>
          </w14:textFill>
        </w:rPr>
        <w:t xml:space="preserve"> </w:t>
      </w:r>
      <w:bookmarkStart w:id="0" w:name="_GoBack"/>
      <w:bookmarkEnd w:id="0"/>
    </w:p>
    <w:p w14:paraId="44DD7778">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知识产权</w:t>
      </w:r>
    </w:p>
    <w:p w14:paraId="61115F96">
      <w:pPr>
        <w:keepNext w:val="0"/>
        <w:keepLines w:val="0"/>
        <w:pageBreakBefore w:val="0"/>
        <w:widowControl w:val="0"/>
        <w:tabs>
          <w:tab w:val="left" w:pos="144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乙方应保证所提供的服务或其任何一部分均不会侵犯任何第三方的专利权、商标权或著作权。</w:t>
      </w:r>
    </w:p>
    <w:p w14:paraId="29246775">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无产权瑕疵条款</w:t>
      </w:r>
    </w:p>
    <w:p w14:paraId="7E2AA3E2">
      <w:pPr>
        <w:keepNext w:val="0"/>
        <w:keepLines w:val="0"/>
        <w:pageBreakBefore w:val="0"/>
        <w:widowControl w:val="0"/>
        <w:tabs>
          <w:tab w:val="left" w:pos="144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52319CCC">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履约保证金</w:t>
      </w:r>
    </w:p>
    <w:p w14:paraId="48B298DD">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乙方交纳人民币</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Cs/>
          <w:color w:val="000000" w:themeColor="text1"/>
          <w:sz w:val="19"/>
          <w:szCs w:val="19"/>
          <w:highlight w:val="none"/>
          <w:u w:val="none"/>
          <w14:textFill>
            <w14:solidFill>
              <w14:schemeClr w14:val="tx1"/>
            </w14:solidFill>
          </w14:textFill>
        </w:rPr>
        <w:t>元</w:t>
      </w:r>
      <w:r>
        <w:rPr>
          <w:rFonts w:hint="eastAsia" w:ascii="黑体" w:hAnsi="黑体" w:eastAsia="黑体" w:cs="黑体"/>
          <w:bCs/>
          <w:color w:val="000000" w:themeColor="text1"/>
          <w:sz w:val="19"/>
          <w:szCs w:val="19"/>
          <w:highlight w:val="none"/>
          <w14:textFill>
            <w14:solidFill>
              <w14:schemeClr w14:val="tx1"/>
            </w14:solidFill>
          </w14:textFill>
        </w:rPr>
        <w:t>作为本合同的履约保证金。</w:t>
      </w:r>
    </w:p>
    <w:p w14:paraId="592A1B30">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履约保证金作为违约金的一部分及用于补偿甲方因乙方不能履行合同义务而蒙受的损失。</w:t>
      </w:r>
    </w:p>
    <w:p w14:paraId="09CCF82D">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甲方的权利和义务</w:t>
      </w:r>
    </w:p>
    <w:p w14:paraId="254A3387">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甲方有权对合同规定范围内乙方的服务行为进行监督和检查，拥有监管权。有权定期核对乙方提供服务所配备的人员数量。对甲方认为不合理的部分有权下达整改通知书，并要求乙方限期整改。</w:t>
      </w:r>
    </w:p>
    <w:p w14:paraId="008F5929">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甲方有权依据双方签订的考评办法对乙方提供的服务进行定期考评。当考评结果未达到标准时，有权依据考评办法约定的数额扣除履约保证金。</w:t>
      </w:r>
    </w:p>
    <w:p w14:paraId="2003898B">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3</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负责检查监督乙方管理工作的实施及制度的执行情况。</w:t>
      </w:r>
    </w:p>
    <w:p w14:paraId="3AE46525">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4</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根据本合同规定，按时向乙方支付应付服务费用。</w:t>
      </w:r>
    </w:p>
    <w:p w14:paraId="207557CB">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5</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国家法律、法规所规定由甲方承担的其它责任。</w:t>
      </w:r>
    </w:p>
    <w:p w14:paraId="6044A743">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乙方的权利和义务</w:t>
      </w:r>
    </w:p>
    <w:p w14:paraId="5EE32B79">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对本合同规定的委托服务范围内的项目享有管理权及服务义务。</w:t>
      </w:r>
    </w:p>
    <w:p w14:paraId="78049D28">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根据本合同的规定向甲方收取相关服务费用，并有权在本项目管理范围内管理及合理使用。</w:t>
      </w:r>
    </w:p>
    <w:p w14:paraId="7D23211E">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及时向甲方通告本项目服务范围内有关服务的重大事项，及时配合处理投诉。</w:t>
      </w:r>
    </w:p>
    <w:p w14:paraId="0011132D">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接受项目行业管理部门及政府有关部门的指导，接受甲方的监督。</w:t>
      </w:r>
    </w:p>
    <w:p w14:paraId="4604D75A">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5</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国家法律、法规所规定由乙方承担的其它责任。</w:t>
      </w:r>
    </w:p>
    <w:p w14:paraId="0BD6D251">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违约责任</w:t>
      </w:r>
    </w:p>
    <w:p w14:paraId="5D90382F">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甲乙双方必须遵守本合同并执行合同中的各项规定，保证本合同的正常履行。</w:t>
      </w:r>
    </w:p>
    <w:p w14:paraId="19D2CF56">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E407E7A">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不可抗力事件处理</w:t>
      </w:r>
    </w:p>
    <w:p w14:paraId="598880F6">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在合同有效期内，任何一方因不可抗力事件导致不能履行合同，则合同履行期可延长，其延长期与不可抗力影响期相同。</w:t>
      </w:r>
    </w:p>
    <w:p w14:paraId="65E5AE09">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不可抗力事件发生后，应立即通知对方，并寄送有关权威机构出具的证明。</w:t>
      </w:r>
    </w:p>
    <w:p w14:paraId="27904AB7">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不可抗力事件</w:t>
      </w:r>
      <w:r>
        <w:rPr>
          <w:rFonts w:hint="eastAsia" w:ascii="黑体" w:hAnsi="黑体" w:eastAsia="黑体" w:cs="黑体"/>
          <w:color w:val="000000" w:themeColor="text1"/>
          <w:sz w:val="19"/>
          <w:szCs w:val="19"/>
          <w:highlight w:val="none"/>
          <w:u w:val="none"/>
          <w14:textFill>
            <w14:solidFill>
              <w14:schemeClr w14:val="tx1"/>
            </w14:solidFill>
          </w14:textFill>
        </w:rPr>
        <w:t>延续</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120 </w:t>
      </w:r>
      <w:r>
        <w:rPr>
          <w:rFonts w:hint="eastAsia" w:ascii="黑体" w:hAnsi="黑体" w:eastAsia="黑体" w:cs="黑体"/>
          <w:color w:val="000000" w:themeColor="text1"/>
          <w:sz w:val="19"/>
          <w:szCs w:val="19"/>
          <w:highlight w:val="none"/>
          <w:u w:val="none"/>
          <w14:textFill>
            <w14:solidFill>
              <w14:schemeClr w14:val="tx1"/>
            </w14:solidFill>
          </w14:textFill>
        </w:rPr>
        <w:t>天</w:t>
      </w:r>
      <w:r>
        <w:rPr>
          <w:rFonts w:hint="eastAsia" w:ascii="黑体" w:hAnsi="黑体" w:eastAsia="黑体" w:cs="黑体"/>
          <w:color w:val="000000" w:themeColor="text1"/>
          <w:sz w:val="19"/>
          <w:szCs w:val="19"/>
          <w:highlight w:val="none"/>
          <w14:textFill>
            <w14:solidFill>
              <w14:schemeClr w14:val="tx1"/>
            </w14:solidFill>
          </w14:textFill>
        </w:rPr>
        <w:t>以上，双方应通过友好协商，确定是否继续履行合同。</w:t>
      </w:r>
    </w:p>
    <w:p w14:paraId="31966D38">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解决合同纠纷的方式</w:t>
      </w:r>
    </w:p>
    <w:p w14:paraId="6B906642">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在执行本合同中发生的或与本合同有关的争端，双方应通过友好协商解决，经协商</w:t>
      </w:r>
      <w:r>
        <w:rPr>
          <w:rFonts w:hint="eastAsia" w:ascii="黑体" w:hAnsi="黑体" w:eastAsia="黑体" w:cs="黑体"/>
          <w:color w:val="000000" w:themeColor="text1"/>
          <w:sz w:val="19"/>
          <w:szCs w:val="19"/>
          <w:highlight w:val="none"/>
          <w:u w:val="none"/>
          <w14:textFill>
            <w14:solidFill>
              <w14:schemeClr w14:val="tx1"/>
            </w14:solidFill>
          </w14:textFill>
        </w:rPr>
        <w:t>在</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30 </w:t>
      </w:r>
      <w:r>
        <w:rPr>
          <w:rFonts w:hint="eastAsia" w:ascii="黑体" w:hAnsi="黑体" w:eastAsia="黑体" w:cs="黑体"/>
          <w:color w:val="000000" w:themeColor="text1"/>
          <w:sz w:val="19"/>
          <w:szCs w:val="19"/>
          <w:highlight w:val="none"/>
          <w:u w:val="none"/>
          <w14:textFill>
            <w14:solidFill>
              <w14:schemeClr w14:val="tx1"/>
            </w14:solidFill>
          </w14:textFill>
        </w:rPr>
        <w:t>天</w:t>
      </w:r>
      <w:r>
        <w:rPr>
          <w:rFonts w:hint="eastAsia" w:ascii="黑体" w:hAnsi="黑体" w:eastAsia="黑体" w:cs="黑体"/>
          <w:color w:val="000000" w:themeColor="text1"/>
          <w:sz w:val="19"/>
          <w:szCs w:val="19"/>
          <w:highlight w:val="none"/>
          <w14:textFill>
            <w14:solidFill>
              <w14:schemeClr w14:val="tx1"/>
            </w14:solidFill>
          </w14:textFill>
        </w:rPr>
        <w:t>内不能达成协议时，应提交</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甲方所在地 </w:t>
      </w:r>
      <w:r>
        <w:rPr>
          <w:rFonts w:hint="eastAsia" w:ascii="黑体" w:hAnsi="黑体" w:eastAsia="黑体" w:cs="黑体"/>
          <w:color w:val="000000" w:themeColor="text1"/>
          <w:sz w:val="19"/>
          <w:szCs w:val="19"/>
          <w:highlight w:val="none"/>
          <w:u w:val="none"/>
          <w14:textFill>
            <w14:solidFill>
              <w14:schemeClr w14:val="tx1"/>
            </w14:solidFill>
          </w14:textFill>
        </w:rPr>
        <w:t>仲裁委员会</w:t>
      </w:r>
      <w:r>
        <w:rPr>
          <w:rFonts w:hint="eastAsia" w:ascii="黑体" w:hAnsi="黑体" w:eastAsia="黑体" w:cs="黑体"/>
          <w:color w:val="000000" w:themeColor="text1"/>
          <w:sz w:val="19"/>
          <w:szCs w:val="19"/>
          <w:highlight w:val="none"/>
          <w:u w:val="none"/>
          <w:lang w:eastAsia="zh-CN"/>
          <w14:textFill>
            <w14:solidFill>
              <w14:schemeClr w14:val="tx1"/>
            </w14:solidFill>
          </w14:textFill>
        </w:rPr>
        <w:t>予以进行</w:t>
      </w:r>
      <w:r>
        <w:rPr>
          <w:rFonts w:hint="eastAsia" w:ascii="黑体" w:hAnsi="黑体" w:eastAsia="黑体" w:cs="黑体"/>
          <w:color w:val="000000" w:themeColor="text1"/>
          <w:sz w:val="19"/>
          <w:szCs w:val="19"/>
          <w:highlight w:val="none"/>
          <w14:textFill>
            <w14:solidFill>
              <w14:schemeClr w14:val="tx1"/>
            </w14:solidFill>
          </w14:textFill>
        </w:rPr>
        <w:t>仲裁。</w:t>
      </w:r>
    </w:p>
    <w:p w14:paraId="7E8A2C92">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仲裁裁决应为最终决定，并对双方具有约束力。</w:t>
      </w:r>
    </w:p>
    <w:p w14:paraId="78916030">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 xml:space="preserve">除另有裁决外，仲裁费应由败诉方负担。 </w:t>
      </w:r>
    </w:p>
    <w:p w14:paraId="4D6F4E97">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 xml:space="preserve">在仲裁期间，除正在进行仲裁部分外，合同其他部分继续执行。  </w:t>
      </w:r>
    </w:p>
    <w:p w14:paraId="4B73EC10">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合同生效及其他</w:t>
      </w:r>
    </w:p>
    <w:p w14:paraId="35B72F88">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合同经双方法定代表人或授权委托代理人签字并加盖单位公章后生效。</w:t>
      </w:r>
    </w:p>
    <w:p w14:paraId="7444D156">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合同执行中涉及资金和采购内容修改或补充的，须经双方签订书面补充协议，方可作为主合同不可分割的一部分。</w:t>
      </w:r>
    </w:p>
    <w:p w14:paraId="2A3472F3">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本合同一式</w:t>
      </w:r>
      <w:r>
        <w:rPr>
          <w:rFonts w:hint="eastAsia" w:ascii="黑体" w:hAnsi="黑体" w:eastAsia="黑体" w:cs="黑体"/>
          <w:color w:val="000000" w:themeColor="text1"/>
          <w:sz w:val="19"/>
          <w:szCs w:val="19"/>
          <w:highlight w:val="none"/>
          <w:lang w:eastAsia="zh-CN"/>
          <w14:textFill>
            <w14:solidFill>
              <w14:schemeClr w14:val="tx1"/>
            </w14:solidFill>
          </w14:textFill>
        </w:rPr>
        <w:t>陆</w:t>
      </w:r>
      <w:r>
        <w:rPr>
          <w:rFonts w:hint="eastAsia" w:ascii="黑体" w:hAnsi="黑体" w:eastAsia="黑体" w:cs="黑体"/>
          <w:color w:val="000000" w:themeColor="text1"/>
          <w:sz w:val="19"/>
          <w:szCs w:val="19"/>
          <w:highlight w:val="none"/>
          <w14:textFill>
            <w14:solidFill>
              <w14:schemeClr w14:val="tx1"/>
            </w14:solidFill>
          </w14:textFill>
        </w:rPr>
        <w:t>份，自双方签章之日起起效。甲方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份，乙方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份，采购代理机构</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份，具有同等法律效力。</w:t>
      </w:r>
    </w:p>
    <w:p w14:paraId="158F0962">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附件</w:t>
      </w:r>
    </w:p>
    <w:p w14:paraId="3FC157A5">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p>
    <w:p w14:paraId="4696FBA8">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澄清</w:t>
      </w:r>
      <w:r>
        <w:rPr>
          <w:rFonts w:hint="eastAsia" w:ascii="黑体" w:hAnsi="黑体" w:eastAsia="黑体" w:cs="黑体"/>
          <w:color w:val="000000" w:themeColor="text1"/>
          <w:sz w:val="19"/>
          <w:szCs w:val="19"/>
          <w:highlight w:val="none"/>
          <w:lang w:eastAsia="zh-CN"/>
          <w14:textFill>
            <w14:solidFill>
              <w14:schemeClr w14:val="tx1"/>
            </w14:solidFill>
          </w14:textFill>
        </w:rPr>
        <w:t>（或答疑）</w:t>
      </w:r>
      <w:r>
        <w:rPr>
          <w:rFonts w:hint="eastAsia" w:ascii="黑体" w:hAnsi="黑体" w:eastAsia="黑体" w:cs="黑体"/>
          <w:color w:val="000000" w:themeColor="text1"/>
          <w:sz w:val="19"/>
          <w:szCs w:val="19"/>
          <w:highlight w:val="none"/>
          <w14:textFill>
            <w14:solidFill>
              <w14:schemeClr w14:val="tx1"/>
            </w14:solidFill>
          </w14:textFill>
        </w:rPr>
        <w:t>文件</w:t>
      </w:r>
    </w:p>
    <w:p w14:paraId="10168CE0">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p>
    <w:p w14:paraId="2638E09D">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lang w:val="en-US" w:eastAsia="zh-CN"/>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p>
    <w:p w14:paraId="4E987CC1">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lang w:val="en-US" w:eastAsia="zh-CN"/>
          <w14:textFill>
            <w14:solidFill>
              <w14:schemeClr w14:val="tx1"/>
            </w14:solidFill>
          </w14:textFill>
        </w:rPr>
      </w:pPr>
    </w:p>
    <w:p w14:paraId="214D6E0D">
      <w:pPr>
        <w:pStyle w:val="14"/>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黑体" w:hAnsi="黑体" w:eastAsia="黑体" w:cs="黑体"/>
          <w:color w:val="000000" w:themeColor="text1"/>
          <w:sz w:val="19"/>
          <w:szCs w:val="19"/>
          <w:highlight w:val="none"/>
          <w:lang w:val="en-US" w:eastAsia="zh-CN"/>
          <w14:textFill>
            <w14:solidFill>
              <w14:schemeClr w14:val="tx1"/>
            </w14:solidFill>
          </w14:textFill>
        </w:rPr>
      </w:pPr>
    </w:p>
    <w:p w14:paraId="2C0F9F7C">
      <w:pPr>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甲方：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（盖章）   </w:t>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乙方：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（盖章） </w:t>
      </w:r>
    </w:p>
    <w:p w14:paraId="24DA49EB">
      <w:pPr>
        <w:keepNext w:val="0"/>
        <w:keepLines w:val="0"/>
        <w:pageBreakBefore w:val="0"/>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p>
    <w:p w14:paraId="446A7630">
      <w:pPr>
        <w:keepNext w:val="0"/>
        <w:keepLines w:val="0"/>
        <w:pageBreakBefore w:val="0"/>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法定代表人（授权代表）：           法定代表人（授权代表）：</w:t>
      </w:r>
    </w:p>
    <w:p w14:paraId="65CEC871">
      <w:pPr>
        <w:keepNext w:val="0"/>
        <w:keepLines w:val="0"/>
        <w:pageBreakBefore w:val="0"/>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地    址：                         地    址：</w:t>
      </w:r>
    </w:p>
    <w:p w14:paraId="6148EB90">
      <w:pPr>
        <w:keepNext w:val="0"/>
        <w:keepLines w:val="0"/>
        <w:pageBreakBefore w:val="0"/>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开户银行：                         开户银行：</w:t>
      </w:r>
    </w:p>
    <w:p w14:paraId="10B09D0B">
      <w:pPr>
        <w:keepNext w:val="0"/>
        <w:keepLines w:val="0"/>
        <w:pageBreakBefore w:val="0"/>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账号：                             账号：</w:t>
      </w:r>
    </w:p>
    <w:p w14:paraId="667F39C0">
      <w:pPr>
        <w:keepNext w:val="0"/>
        <w:keepLines w:val="0"/>
        <w:pageBreakBefore w:val="0"/>
        <w:kinsoku/>
        <w:wordWrap/>
        <w:overflowPunct/>
        <w:topLinePunct w:val="0"/>
        <w:autoSpaceDE/>
        <w:autoSpaceDN/>
        <w:bidi w:val="0"/>
        <w:snapToGrid/>
        <w:spacing w:before="58"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电    话：                         电    话：</w:t>
      </w:r>
    </w:p>
    <w:p w14:paraId="63709505">
      <w:pPr>
        <w:pStyle w:val="6"/>
        <w:keepNext w:val="0"/>
        <w:keepLines w:val="0"/>
        <w:pageBreakBefore w:val="0"/>
        <w:kinsoku/>
        <w:wordWrap/>
        <w:overflowPunct/>
        <w:topLinePunct w:val="0"/>
        <w:autoSpaceDE/>
        <w:autoSpaceDN/>
        <w:bidi w:val="0"/>
        <w:snapToGrid/>
        <w:spacing w:before="58" w:beforeLines="20" w:beforeAutospacing="0" w:after="0" w:afterAutospacing="0" w:line="480" w:lineRule="exact"/>
        <w:ind w:firstLine="380" w:firstLineChars="200"/>
        <w:jc w:val="both"/>
        <w:rPr>
          <w:rFonts w:hint="eastAsia" w:ascii="黑体" w:hAnsi="黑体" w:eastAsia="黑体" w:cs="黑体"/>
          <w:b/>
          <w:bCs/>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签约日期：</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年</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月</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日 </w:t>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签约日期：</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年</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月</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日 </w:t>
      </w:r>
    </w:p>
    <w:p w14:paraId="765D8ECC">
      <w:pPr>
        <w:keepNext w:val="0"/>
        <w:keepLines w:val="0"/>
        <w:pageBreakBefore w:val="0"/>
        <w:kinsoku/>
        <w:wordWrap/>
        <w:overflowPunct/>
        <w:topLinePunct w:val="0"/>
        <w:autoSpaceDE/>
        <w:autoSpaceDN/>
        <w:bidi w:val="0"/>
        <w:snapToGrid/>
        <w:spacing w:before="58" w:beforeLines="20" w:beforeAutospacing="0" w:afterAutospacing="0" w:line="480" w:lineRule="exact"/>
        <w:rPr>
          <w:rFonts w:hint="eastAsia" w:ascii="黑体" w:hAnsi="黑体" w:eastAsia="黑体" w:cs="黑体"/>
          <w:sz w:val="21"/>
          <w:szCs w:val="21"/>
        </w:rPr>
      </w:pPr>
      <w:r>
        <w:rPr>
          <w:rFonts w:hint="eastAsia" w:ascii="黑体" w:hAnsi="黑体" w:eastAsia="黑体" w:cs="黑体"/>
          <w:b/>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签订地点：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sectPr>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EECA7">
    <w:pPr>
      <w:spacing w:line="186" w:lineRule="auto"/>
      <w:ind w:left="4721"/>
      <w:rPr>
        <w:rFonts w:ascii="Calibri" w:hAnsi="Calibri" w:eastAsia="Calibri" w:cs="Calibri"/>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7EB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4AF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374AF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7A4735"/>
    <w:multiLevelType w:val="singleLevel"/>
    <w:tmpl w:val="347A4735"/>
    <w:lvl w:ilvl="0" w:tentative="0">
      <w:start w:val="1"/>
      <w:numFmt w:val="japaneseCounting"/>
      <w:suff w:val="nothing"/>
      <w:lvlText w:val="第%1条"/>
      <w:lvlJc w:val="left"/>
      <w:pPr>
        <w:ind w:left="1521" w:hanging="1095"/>
      </w:pPr>
      <w:rPr>
        <w:rFonts w:hint="eastAsia"/>
      </w:rPr>
    </w:lvl>
  </w:abstractNum>
  <w:abstractNum w:abstractNumId="2">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6540148"/>
    <w:rsid w:val="09307AB0"/>
    <w:rsid w:val="0C7F5E80"/>
    <w:rsid w:val="0D527C6C"/>
    <w:rsid w:val="0DA52D2A"/>
    <w:rsid w:val="0E740691"/>
    <w:rsid w:val="1E5B7F7C"/>
    <w:rsid w:val="21EC3154"/>
    <w:rsid w:val="22CA56D0"/>
    <w:rsid w:val="24424096"/>
    <w:rsid w:val="2638189E"/>
    <w:rsid w:val="26B97F35"/>
    <w:rsid w:val="2AC17B6D"/>
    <w:rsid w:val="361301C9"/>
    <w:rsid w:val="368220F2"/>
    <w:rsid w:val="3934169D"/>
    <w:rsid w:val="3A005CBD"/>
    <w:rsid w:val="437C769B"/>
    <w:rsid w:val="4642364B"/>
    <w:rsid w:val="4D1E7DDB"/>
    <w:rsid w:val="54755867"/>
    <w:rsid w:val="59A86DC8"/>
    <w:rsid w:val="5E65569A"/>
    <w:rsid w:val="616D08A6"/>
    <w:rsid w:val="64D14B8A"/>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1"/>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2"/>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style>
  <w:style w:type="character" w:customStyle="1" w:styleId="11">
    <w:name w:val="标题 1 Char"/>
    <w:basedOn w:val="10"/>
    <w:link w:val="2"/>
    <w:autoRedefine/>
    <w:qFormat/>
    <w:uiPriority w:val="99"/>
    <w:rPr>
      <w:rFonts w:asciiTheme="minorAscii" w:hAnsiTheme="minorAscii" w:eastAsiaTheme="minorEastAsia" w:cstheme="minorBidi"/>
      <w:b/>
      <w:bCs/>
      <w:kern w:val="44"/>
      <w:sz w:val="44"/>
      <w:szCs w:val="44"/>
    </w:rPr>
  </w:style>
  <w:style w:type="character" w:customStyle="1" w:styleId="12">
    <w:name w:val="标题 2 Char"/>
    <w:link w:val="4"/>
    <w:autoRedefine/>
    <w:qFormat/>
    <w:uiPriority w:val="0"/>
    <w:rPr>
      <w:rFonts w:ascii="Arial" w:hAnsi="Arial" w:eastAsia="宋体" w:cs="Times New Roman"/>
      <w:b/>
      <w:bCs/>
      <w:sz w:val="24"/>
      <w:szCs w:val="3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styleId="14">
    <w:name w:val="List Paragraph"/>
    <w:basedOn w:val="1"/>
    <w:autoRedefine/>
    <w:qFormat/>
    <w:uiPriority w:val="34"/>
    <w:pPr>
      <w:ind w:firstLine="420" w:firstLineChars="200"/>
    </w:pPr>
    <w:rPr>
      <w:rFonts w:ascii="Calibri" w:hAnsi="Calibri" w:eastAsia="宋体" w:cs="Times New Roman"/>
      <w:szCs w:val="22"/>
    </w:rPr>
  </w:style>
  <w:style w:type="paragraph" w:customStyle="1" w:styleId="15">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1618</Words>
  <Characters>1656</Characters>
  <Lines>0</Lines>
  <Paragraphs>0</Paragraphs>
  <TotalTime>1</TotalTime>
  <ScaleCrop>false</ScaleCrop>
  <LinksUpToDate>false</LinksUpToDate>
  <CharactersWithSpaces>2173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2025-10-21T08:46:43Z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