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C0528">
      <w:pPr>
        <w:ind w:firstLine="480" w:firstLineChars="150"/>
        <w:jc w:val="center"/>
        <w:rPr>
          <w:color w:val="000000"/>
          <w:sz w:val="32"/>
          <w:szCs w:val="32"/>
        </w:rPr>
      </w:pPr>
      <w:r>
        <w:rPr>
          <w:color w:val="000000"/>
          <w:sz w:val="32"/>
          <w:szCs w:val="32"/>
        </w:rPr>
        <w:t>××购置合同</w:t>
      </w:r>
    </w:p>
    <w:p w14:paraId="04CB34EE">
      <w:pPr>
        <w:ind w:firstLine="360" w:firstLineChars="150"/>
        <w:jc w:val="center"/>
        <w:rPr>
          <w:color w:val="000000"/>
          <w:sz w:val="24"/>
        </w:rPr>
      </w:pPr>
      <w:r>
        <w:rPr>
          <w:rFonts w:hint="eastAsia"/>
          <w:color w:val="000000"/>
          <w:sz w:val="24"/>
        </w:rPr>
        <w:t>（参考模版）</w:t>
      </w:r>
    </w:p>
    <w:p w14:paraId="30579B0A">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根据《中华人民共和国政府采购法》、《中华人民共和国民法典》及有关法律规定，遵循平等、自愿、公平和诚实信用的原则，西安石油大学（甲方）与××××公司（乙方）就××××项目（招标编号：     ）经双方协商达成如下合同条款：</w:t>
      </w:r>
    </w:p>
    <w:p w14:paraId="4A7BBB19">
      <w:pPr>
        <w:spacing w:line="360" w:lineRule="auto"/>
        <w:rPr>
          <w:rFonts w:ascii="仿宋" w:hAnsi="仿宋" w:eastAsia="仿宋" w:cs="仿宋"/>
          <w:b/>
          <w:sz w:val="24"/>
        </w:rPr>
      </w:pPr>
      <w:r>
        <w:rPr>
          <w:rFonts w:hint="eastAsia" w:ascii="仿宋" w:hAnsi="仿宋" w:eastAsia="仿宋" w:cs="仿宋"/>
          <w:b/>
          <w:sz w:val="24"/>
        </w:rPr>
        <w:t>一、合同内容</w:t>
      </w:r>
    </w:p>
    <w:p w14:paraId="6D20A16D">
      <w:pPr>
        <w:spacing w:line="360" w:lineRule="auto"/>
        <w:ind w:firstLine="420" w:firstLineChars="200"/>
        <w:rPr>
          <w:rFonts w:ascii="仿宋" w:hAnsi="仿宋" w:eastAsia="仿宋" w:cs="仿宋"/>
          <w:szCs w:val="21"/>
        </w:rPr>
      </w:pPr>
      <w:r>
        <w:rPr>
          <w:rFonts w:hint="eastAsia" w:ascii="仿宋" w:hAnsi="仿宋" w:eastAsia="仿宋" w:cs="仿宋"/>
          <w:szCs w:val="21"/>
        </w:rPr>
        <w:t>1、购置清单</w:t>
      </w:r>
    </w:p>
    <w:tbl>
      <w:tblPr>
        <w:tblStyle w:val="3"/>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95CB67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32ABE83A">
            <w:pPr>
              <w:spacing w:line="360" w:lineRule="auto"/>
              <w:jc w:val="center"/>
              <w:rPr>
                <w:rFonts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14:paraId="4BD610EB">
            <w:pPr>
              <w:spacing w:line="360" w:lineRule="auto"/>
              <w:jc w:val="center"/>
              <w:rPr>
                <w:rFonts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shd w:val="clear" w:color="auto" w:fill="auto"/>
            <w:vAlign w:val="center"/>
          </w:tcPr>
          <w:p w14:paraId="2D01C733">
            <w:pPr>
              <w:spacing w:line="360" w:lineRule="auto"/>
              <w:jc w:val="center"/>
              <w:rPr>
                <w:rFonts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shd w:val="clear" w:color="auto" w:fill="auto"/>
            <w:vAlign w:val="center"/>
          </w:tcPr>
          <w:p w14:paraId="0D213097">
            <w:pPr>
              <w:spacing w:line="360" w:lineRule="auto"/>
              <w:jc w:val="center"/>
              <w:rPr>
                <w:rFonts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shd w:val="clear" w:color="auto" w:fill="auto"/>
            <w:vAlign w:val="center"/>
          </w:tcPr>
          <w:p w14:paraId="141981C2">
            <w:pPr>
              <w:spacing w:line="360" w:lineRule="auto"/>
              <w:jc w:val="center"/>
              <w:rPr>
                <w:rFonts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shd w:val="clear" w:color="auto" w:fill="auto"/>
            <w:vAlign w:val="center"/>
          </w:tcPr>
          <w:p w14:paraId="581A6FDC">
            <w:pPr>
              <w:spacing w:line="360" w:lineRule="auto"/>
              <w:jc w:val="center"/>
              <w:rPr>
                <w:rFonts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6C7B2AD4">
            <w:pPr>
              <w:spacing w:line="360" w:lineRule="auto"/>
              <w:jc w:val="center"/>
              <w:rPr>
                <w:rFonts w:ascii="仿宋" w:hAnsi="仿宋" w:eastAsia="仿宋" w:cs="仿宋"/>
                <w:szCs w:val="21"/>
              </w:rPr>
            </w:pPr>
            <w:r>
              <w:rPr>
                <w:rFonts w:hint="eastAsia" w:ascii="仿宋" w:hAnsi="仿宋" w:eastAsia="仿宋" w:cs="仿宋"/>
                <w:szCs w:val="21"/>
              </w:rPr>
              <w:t>总价（元）</w:t>
            </w:r>
          </w:p>
        </w:tc>
      </w:tr>
      <w:tr w14:paraId="2C6F272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tcPr>
          <w:p w14:paraId="0F848758">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shd w:val="clear" w:color="auto" w:fill="auto"/>
          </w:tcPr>
          <w:p w14:paraId="0BBF3F04">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shd w:val="clear" w:color="auto" w:fill="auto"/>
          </w:tcPr>
          <w:p w14:paraId="25FE132B">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shd w:val="clear" w:color="auto" w:fill="auto"/>
          </w:tcPr>
          <w:p w14:paraId="5E51F9BB">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shd w:val="clear" w:color="auto" w:fill="auto"/>
          </w:tcPr>
          <w:p w14:paraId="2609FCB5">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tcPr>
          <w:p w14:paraId="2A0B3623">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tcPr>
          <w:p w14:paraId="2156CA62">
            <w:pPr>
              <w:spacing w:line="360" w:lineRule="auto"/>
              <w:rPr>
                <w:rFonts w:ascii="仿宋" w:hAnsi="仿宋" w:eastAsia="仿宋" w:cs="仿宋"/>
                <w:szCs w:val="21"/>
              </w:rPr>
            </w:pPr>
          </w:p>
        </w:tc>
      </w:tr>
      <w:tr w14:paraId="0D4EE13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117ABDD5">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14:paraId="568A7A4F">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14:paraId="4CD2F186">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shd w:val="clear" w:color="auto" w:fill="auto"/>
            <w:vAlign w:val="center"/>
          </w:tcPr>
          <w:p w14:paraId="70A01596">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14:paraId="5CF988F4">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235F56A1">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7B0127BC">
            <w:pPr>
              <w:spacing w:line="360" w:lineRule="auto"/>
              <w:rPr>
                <w:rFonts w:ascii="仿宋" w:hAnsi="仿宋" w:eastAsia="仿宋" w:cs="仿宋"/>
                <w:szCs w:val="21"/>
              </w:rPr>
            </w:pPr>
          </w:p>
        </w:tc>
      </w:tr>
      <w:tr w14:paraId="5085ABC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EE972CB">
            <w:pPr>
              <w:spacing w:line="360" w:lineRule="auto"/>
              <w:rPr>
                <w:rFonts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shd w:val="clear" w:color="auto" w:fill="auto"/>
            <w:vAlign w:val="center"/>
          </w:tcPr>
          <w:p w14:paraId="6E830A96">
            <w:pPr>
              <w:spacing w:line="360" w:lineRule="auto"/>
              <w:rPr>
                <w:rFonts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5D67D041">
            <w:pPr>
              <w:spacing w:line="360" w:lineRule="auto"/>
              <w:rPr>
                <w:rFonts w:ascii="仿宋" w:hAnsi="仿宋" w:eastAsia="仿宋" w:cs="仿宋"/>
                <w:szCs w:val="21"/>
              </w:rPr>
            </w:pPr>
            <w:r>
              <w:rPr>
                <w:rFonts w:hint="eastAsia" w:ascii="仿宋" w:hAnsi="仿宋" w:eastAsia="仿宋" w:cs="仿宋"/>
                <w:szCs w:val="21"/>
              </w:rPr>
              <w:t>小写</w:t>
            </w:r>
          </w:p>
        </w:tc>
      </w:tr>
    </w:tbl>
    <w:p w14:paraId="70F6845F">
      <w:pPr>
        <w:spacing w:line="360" w:lineRule="auto"/>
        <w:ind w:firstLine="420" w:firstLineChars="200"/>
        <w:rPr>
          <w:rFonts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元，是指货物到达西安石油大学指定地点、完成验收后的价格，其中已包含货物价格、包装运杂费（含保险）、工程费、安装调试费、税金等全部费用。</w:t>
      </w:r>
    </w:p>
    <w:p w14:paraId="3F96E1C6">
      <w:pPr>
        <w:spacing w:line="360" w:lineRule="auto"/>
        <w:ind w:firstLine="420" w:firstLineChars="200"/>
        <w:rPr>
          <w:rFonts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29A53B56">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二、产品质量</w:t>
      </w:r>
    </w:p>
    <w:p w14:paraId="1A9B8360">
      <w:pPr>
        <w:spacing w:line="360" w:lineRule="auto"/>
        <w:ind w:firstLine="420" w:firstLineChars="200"/>
        <w:rPr>
          <w:rFonts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1A68CAD0">
      <w:pPr>
        <w:spacing w:line="360" w:lineRule="auto"/>
        <w:ind w:firstLine="420" w:firstLineChars="200"/>
        <w:rPr>
          <w:rFonts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7E3CF0D2">
      <w:pPr>
        <w:spacing w:line="360" w:lineRule="auto"/>
        <w:ind w:firstLine="420" w:firstLineChars="200"/>
        <w:rPr>
          <w:rFonts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7029DE74">
      <w:pPr>
        <w:spacing w:line="360" w:lineRule="auto"/>
        <w:ind w:firstLine="420" w:firstLineChars="200"/>
        <w:rPr>
          <w:rFonts w:ascii="仿宋" w:hAnsi="仿宋" w:eastAsia="仿宋" w:cs="仿宋"/>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14:paraId="7FB842D5">
      <w:pPr>
        <w:spacing w:line="360" w:lineRule="auto"/>
        <w:ind w:firstLine="420"/>
        <w:rPr>
          <w:rFonts w:hint="eastAsia"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51B7A0FE">
      <w:pPr>
        <w:spacing w:line="360" w:lineRule="auto"/>
        <w:ind w:firstLine="420"/>
        <w:rPr>
          <w:rFonts w:hint="default" w:ascii="仿宋" w:hAnsi="仿宋" w:eastAsia="仿宋" w:cs="仿宋"/>
          <w:szCs w:val="21"/>
          <w:lang w:val="en-US" w:eastAsia="zh-CN"/>
        </w:rPr>
      </w:pPr>
      <w:r>
        <w:rPr>
          <w:rFonts w:hint="eastAsia" w:ascii="仿宋" w:hAnsi="仿宋" w:eastAsia="仿宋" w:cs="仿宋"/>
          <w:szCs w:val="21"/>
          <w:lang w:val="en-US" w:eastAsia="zh-CN"/>
        </w:rPr>
        <w:t>6、本项目产生的包括但不限于定制软件、图纸、课程资源、影像资料等知识产权归甲方所有。</w:t>
      </w:r>
    </w:p>
    <w:p w14:paraId="4C25FE98">
      <w:pPr>
        <w:rPr>
          <w:rFonts w:ascii="仿宋" w:hAnsi="仿宋" w:eastAsia="仿宋" w:cs="仿宋"/>
          <w:b/>
          <w:bCs/>
          <w:color w:val="000000"/>
          <w:sz w:val="24"/>
        </w:rPr>
      </w:pPr>
      <w:r>
        <w:rPr>
          <w:rFonts w:hint="eastAsia" w:ascii="仿宋" w:hAnsi="仿宋" w:eastAsia="仿宋" w:cs="仿宋"/>
          <w:b/>
          <w:bCs/>
          <w:color w:val="000000"/>
          <w:sz w:val="24"/>
        </w:rPr>
        <w:t>三、产品包装要求及运输方式</w:t>
      </w:r>
    </w:p>
    <w:p w14:paraId="10224359">
      <w:pPr>
        <w:pStyle w:val="5"/>
        <w:spacing w:line="360" w:lineRule="auto"/>
        <w:ind w:firstLine="420" w:firstLineChars="200"/>
        <w:rPr>
          <w:rFonts w:hint="default" w:ascii="仿宋" w:hAnsi="仿宋" w:eastAsia="仿宋" w:cs="仿宋"/>
          <w:kern w:val="2"/>
          <w:sz w:val="21"/>
          <w:szCs w:val="21"/>
          <w:lang w:eastAsia="zh-CN"/>
        </w:rPr>
      </w:pPr>
      <w:r>
        <w:rPr>
          <w:rFonts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6D7209F5">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四、交货时间地点及方式</w:t>
      </w:r>
    </w:p>
    <w:p w14:paraId="41B6981E">
      <w:pPr>
        <w:spacing w:line="360" w:lineRule="auto"/>
        <w:ind w:firstLine="315" w:firstLineChars="150"/>
        <w:rPr>
          <w:rFonts w:ascii="仿宋" w:hAnsi="仿宋" w:eastAsia="仿宋" w:cs="仿宋"/>
          <w:szCs w:val="21"/>
        </w:rPr>
      </w:pPr>
      <w:r>
        <w:rPr>
          <w:rFonts w:hint="eastAsia" w:ascii="仿宋" w:hAnsi="仿宋" w:eastAsia="仿宋" w:cs="仿宋"/>
          <w:szCs w:val="21"/>
        </w:rPr>
        <w:t>乙方于合同签订后</w:t>
      </w:r>
      <w:r>
        <w:rPr>
          <w:rFonts w:hint="eastAsia" w:ascii="仿宋" w:hAnsi="仿宋" w:eastAsia="仿宋" w:cs="仿宋"/>
          <w:szCs w:val="21"/>
          <w:u w:val="single"/>
          <w:lang w:val="en-US" w:eastAsia="zh-CN"/>
        </w:rPr>
        <w:t xml:space="preserve">    </w:t>
      </w:r>
      <w:r>
        <w:rPr>
          <w:rFonts w:hint="eastAsia" w:ascii="仿宋" w:hAnsi="仿宋" w:eastAsia="仿宋" w:cs="仿宋"/>
          <w:szCs w:val="21"/>
          <w:highlight w:val="none"/>
        </w:rPr>
        <w:t>天内</w:t>
      </w:r>
      <w:r>
        <w:rPr>
          <w:rFonts w:hint="eastAsia" w:ascii="仿宋" w:hAnsi="仿宋" w:eastAsia="仿宋" w:cs="仿宋"/>
          <w:szCs w:val="21"/>
        </w:rPr>
        <w:t>完成货物安装调试并交付使用。安装地点</w:t>
      </w:r>
      <w:r>
        <w:rPr>
          <w:rFonts w:hint="eastAsia" w:ascii="仿宋" w:hAnsi="仿宋" w:eastAsia="仿宋" w:cs="仿宋"/>
          <w:strike w:val="0"/>
          <w:dstrike w:val="0"/>
          <w:szCs w:val="21"/>
          <w:highlight w:val="none"/>
        </w:rPr>
        <w:t>：西安石油大学</w:t>
      </w:r>
      <w:r>
        <w:rPr>
          <w:rFonts w:hint="eastAsia" w:ascii="仿宋" w:hAnsi="仿宋" w:eastAsia="仿宋" w:cs="仿宋"/>
          <w:strike w:val="0"/>
          <w:dstrike w:val="0"/>
          <w:szCs w:val="21"/>
          <w:highlight w:val="none"/>
          <w:lang w:val="en-US" w:eastAsia="zh-CN"/>
        </w:rPr>
        <w:t>甲方指定地点</w:t>
      </w:r>
      <w:r>
        <w:rPr>
          <w:rFonts w:hint="eastAsia" w:ascii="仿宋" w:hAnsi="仿宋" w:eastAsia="仿宋" w:cs="仿宋"/>
          <w:szCs w:val="21"/>
        </w:rPr>
        <w:t>，所有产生费用乙方负责。甲方联系人：××，乙方联系人：××。</w:t>
      </w:r>
    </w:p>
    <w:p w14:paraId="42DAD57B">
      <w:pPr>
        <w:spacing w:line="360" w:lineRule="auto"/>
        <w:ind w:firstLine="241" w:firstLineChars="100"/>
        <w:rPr>
          <w:rFonts w:ascii="仿宋" w:hAnsi="仿宋" w:eastAsia="仿宋" w:cs="仿宋"/>
          <w:b/>
          <w:bCs/>
          <w:color w:val="000000"/>
          <w:sz w:val="24"/>
        </w:rPr>
      </w:pPr>
      <w:r>
        <w:rPr>
          <w:rFonts w:hint="eastAsia" w:ascii="仿宋" w:hAnsi="仿宋" w:eastAsia="仿宋" w:cs="仿宋"/>
          <w:b/>
          <w:bCs/>
          <w:color w:val="000000"/>
          <w:sz w:val="24"/>
        </w:rPr>
        <w:t>五、设备的安装、调试及验收</w:t>
      </w:r>
    </w:p>
    <w:p w14:paraId="043CCB66">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1、甲方和乙方应在现场安装设备前，共同确认所有设备是否符合招标要求。乙方负责安装调试，甲方提供必要的工作条件，安装调试所有费用乙方负责。</w:t>
      </w:r>
    </w:p>
    <w:p w14:paraId="40E2A106">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2、甲方对乙方所交产品依照本合同和相关技术合同进行现场验收。验收不合格的，限期整改；整改仍达不到要求的，按本合同第八条第3款处理。</w:t>
      </w:r>
    </w:p>
    <w:p w14:paraId="66A40443">
      <w:pPr>
        <w:ind w:firstLine="361" w:firstLineChars="150"/>
        <w:rPr>
          <w:rFonts w:ascii="仿宋" w:hAnsi="仿宋" w:eastAsia="仿宋" w:cs="仿宋"/>
          <w:b/>
          <w:bCs/>
          <w:color w:val="000000"/>
          <w:sz w:val="24"/>
          <w:highlight w:val="none"/>
        </w:rPr>
      </w:pPr>
      <w:bookmarkStart w:id="0" w:name="_GoBack"/>
      <w:r>
        <w:rPr>
          <w:rFonts w:hint="eastAsia" w:ascii="仿宋" w:hAnsi="仿宋" w:eastAsia="仿宋" w:cs="仿宋"/>
          <w:b/>
          <w:bCs/>
          <w:color w:val="000000"/>
          <w:sz w:val="24"/>
          <w:highlight w:val="none"/>
        </w:rPr>
        <w:t>六、质保期及售后服务</w:t>
      </w:r>
    </w:p>
    <w:p w14:paraId="0366A31D">
      <w:pPr>
        <w:spacing w:line="360" w:lineRule="auto"/>
        <w:ind w:firstLine="315" w:firstLineChars="150"/>
        <w:rPr>
          <w:rFonts w:ascii="仿宋" w:hAnsi="仿宋" w:eastAsia="仿宋" w:cs="仿宋"/>
          <w:color w:val="000000"/>
          <w:szCs w:val="21"/>
          <w:highlight w:val="none"/>
        </w:rPr>
      </w:pPr>
      <w:r>
        <w:rPr>
          <w:rFonts w:hint="eastAsia" w:ascii="仿宋" w:hAnsi="仿宋" w:eastAsia="仿宋" w:cs="仿宋"/>
          <w:color w:val="000000"/>
          <w:szCs w:val="21"/>
          <w:highlight w:val="none"/>
        </w:rPr>
        <w:t>1、乙方提供的设备质保期限</w:t>
      </w:r>
      <w:r>
        <w:rPr>
          <w:rFonts w:hint="eastAsia" w:ascii="仿宋" w:hAnsi="仿宋" w:eastAsia="仿宋" w:cs="仿宋"/>
          <w:color w:val="000000"/>
          <w:szCs w:val="21"/>
          <w:highlight w:val="none"/>
          <w:lang w:val="en-US" w:eastAsia="zh-CN"/>
        </w:rPr>
        <w:t>3</w:t>
      </w:r>
      <w:r>
        <w:rPr>
          <w:rFonts w:hint="eastAsia" w:ascii="仿宋" w:hAnsi="仿宋" w:eastAsia="仿宋" w:cs="仿宋"/>
          <w:color w:val="000000"/>
          <w:szCs w:val="21"/>
          <w:highlight w:val="none"/>
        </w:rPr>
        <w:t>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394DAF83">
      <w:pPr>
        <w:spacing w:line="360" w:lineRule="auto"/>
        <w:ind w:firstLine="315" w:firstLineChars="150"/>
        <w:rPr>
          <w:rFonts w:ascii="仿宋" w:hAnsi="仿宋" w:eastAsia="仿宋" w:cs="仿宋"/>
          <w:color w:val="000000"/>
          <w:szCs w:val="21"/>
          <w:highlight w:val="none"/>
        </w:rPr>
      </w:pPr>
      <w:r>
        <w:rPr>
          <w:rFonts w:hint="eastAsia" w:ascii="仿宋" w:hAnsi="仿宋" w:eastAsia="仿宋" w:cs="仿宋"/>
          <w:color w:val="000000"/>
          <w:szCs w:val="21"/>
          <w:highlight w:val="none"/>
        </w:rPr>
        <w:t>2、安装调试后，乙方免费为甲方提供现场操作培训，通过培训使用户人员了解设备工作原理，熟悉设备的安装及使用、维护方法，掌握各种设备的初始化及故障诊断、定位和排除技能。</w:t>
      </w:r>
    </w:p>
    <w:p w14:paraId="27AE7CF9">
      <w:pPr>
        <w:spacing w:line="360" w:lineRule="auto"/>
        <w:ind w:firstLine="315" w:firstLineChars="150"/>
        <w:rPr>
          <w:rFonts w:ascii="仿宋" w:hAnsi="仿宋" w:eastAsia="仿宋" w:cs="仿宋"/>
          <w:color w:val="000000"/>
          <w:szCs w:val="21"/>
          <w:highlight w:val="none"/>
        </w:rPr>
      </w:pPr>
      <w:r>
        <w:rPr>
          <w:rFonts w:hint="eastAsia" w:ascii="仿宋" w:hAnsi="仿宋" w:eastAsia="仿宋" w:cs="仿宋"/>
          <w:color w:val="000000"/>
          <w:szCs w:val="21"/>
          <w:highlight w:val="none"/>
        </w:rPr>
        <w:t>3、设备正式运行后，定期回访用户，当系统出现重大缺陷问题而影响到甲方实际应用时需及时响应并派人到现场解决。</w:t>
      </w:r>
    </w:p>
    <w:p w14:paraId="1277A56B">
      <w:pPr>
        <w:spacing w:line="360" w:lineRule="auto"/>
        <w:ind w:firstLine="315" w:firstLineChars="15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乙方售后服务及维修专线：××××××。</w:t>
      </w:r>
    </w:p>
    <w:p w14:paraId="0ACF866A">
      <w:pPr>
        <w:spacing w:line="360" w:lineRule="auto"/>
        <w:ind w:firstLine="315" w:firstLineChars="150"/>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4、售后服务标准要求：（1）设备安装、调试和验收；（2）</w:t>
      </w:r>
      <w:r>
        <w:rPr>
          <w:rFonts w:hint="eastAsia" w:ascii="仿宋" w:hAnsi="仿宋" w:eastAsia="仿宋" w:cs="仿宋"/>
          <w:strike w:val="0"/>
          <w:dstrike w:val="0"/>
          <w:color w:val="000000"/>
          <w:szCs w:val="21"/>
          <w:highlight w:val="none"/>
          <w:lang w:val="en-US" w:eastAsia="zh-CN"/>
        </w:rPr>
        <w:t>乙</w:t>
      </w:r>
      <w:r>
        <w:rPr>
          <w:rFonts w:hint="eastAsia" w:ascii="仿宋" w:hAnsi="仿宋" w:eastAsia="仿宋" w:cs="仿宋"/>
          <w:color w:val="000000"/>
          <w:szCs w:val="21"/>
          <w:highlight w:val="none"/>
          <w:lang w:val="en-US" w:eastAsia="zh-CN"/>
        </w:rPr>
        <w:t>方应在合同生效后的1个月内向用户提供详细的安装要求并提供技术咨询；（3）仪器到达用户所在地，在接到用户通知后一周内进行安装调试，直至通过验收。（4）技术培训：在用户所在地对用户进行为期1周的培训。培训内容包括仪器的技术原理、操作、数据处理、基本维护等。验收后半年内组织</w:t>
      </w:r>
      <w:r>
        <w:rPr>
          <w:rFonts w:hint="eastAsia" w:ascii="仿宋" w:hAnsi="仿宋" w:eastAsia="仿宋" w:cs="仿宋"/>
          <w:strike w:val="0"/>
          <w:dstrike w:val="0"/>
          <w:color w:val="000000"/>
          <w:szCs w:val="21"/>
          <w:highlight w:val="none"/>
          <w:lang w:val="en-US" w:eastAsia="zh-CN"/>
        </w:rPr>
        <w:t>甲</w:t>
      </w:r>
      <w:r>
        <w:rPr>
          <w:rFonts w:hint="eastAsia" w:ascii="仿宋" w:hAnsi="仿宋" w:eastAsia="仿宋" w:cs="仿宋"/>
          <w:color w:val="000000"/>
          <w:szCs w:val="21"/>
          <w:highlight w:val="none"/>
          <w:lang w:val="en-US" w:eastAsia="zh-CN"/>
        </w:rPr>
        <w:t>方相关人员2人参加举办的相关应用培训班。（5）保修期：</w:t>
      </w:r>
      <w:r>
        <w:rPr>
          <w:rFonts w:hint="eastAsia" w:ascii="仿宋" w:hAnsi="仿宋" w:eastAsia="仿宋" w:cs="仿宋"/>
          <w:strike w:val="0"/>
          <w:dstrike w:val="0"/>
          <w:color w:val="000000"/>
          <w:szCs w:val="21"/>
          <w:highlight w:val="none"/>
          <w:lang w:val="en-US" w:eastAsia="zh-CN"/>
        </w:rPr>
        <w:t>乙</w:t>
      </w:r>
      <w:r>
        <w:rPr>
          <w:rFonts w:hint="eastAsia" w:ascii="仿宋" w:hAnsi="仿宋" w:eastAsia="仿宋" w:cs="仿宋"/>
          <w:color w:val="000000"/>
          <w:szCs w:val="21"/>
          <w:highlight w:val="none"/>
          <w:lang w:val="en-US" w:eastAsia="zh-CN"/>
        </w:rPr>
        <w:t>方提供三年的免费保修,保修期自仪器验收签字之日起计算。保修期间维修及零件更换费用由厂家负担。（6）维修响应时间：</w:t>
      </w:r>
      <w:r>
        <w:rPr>
          <w:rFonts w:hint="eastAsia" w:ascii="仿宋" w:hAnsi="仿宋" w:eastAsia="仿宋" w:cs="仿宋"/>
          <w:strike w:val="0"/>
          <w:dstrike w:val="0"/>
          <w:color w:val="000000"/>
          <w:szCs w:val="21"/>
          <w:highlight w:val="none"/>
          <w:lang w:val="en-US" w:eastAsia="zh-CN"/>
        </w:rPr>
        <w:t>乙</w:t>
      </w:r>
      <w:r>
        <w:rPr>
          <w:rFonts w:hint="eastAsia" w:ascii="仿宋" w:hAnsi="仿宋" w:eastAsia="仿宋" w:cs="仿宋"/>
          <w:color w:val="000000"/>
          <w:szCs w:val="21"/>
          <w:highlight w:val="none"/>
          <w:lang w:val="en-US" w:eastAsia="zh-CN"/>
        </w:rPr>
        <w:t>方应在24小时内对用户的服务要求作出响应，维修服务包括电话指导和现场维修。</w:t>
      </w:r>
    </w:p>
    <w:bookmarkEnd w:id="0"/>
    <w:p w14:paraId="7C73430F">
      <w:pPr>
        <w:spacing w:line="360" w:lineRule="auto"/>
        <w:ind w:firstLine="361" w:firstLineChars="150"/>
        <w:rPr>
          <w:rFonts w:ascii="仿宋" w:hAnsi="仿宋" w:eastAsia="仿宋" w:cs="仿宋"/>
          <w:b/>
          <w:bCs/>
          <w:color w:val="000000"/>
          <w:sz w:val="24"/>
        </w:rPr>
      </w:pPr>
      <w:r>
        <w:rPr>
          <w:rFonts w:hint="eastAsia" w:ascii="仿宋" w:hAnsi="仿宋" w:eastAsia="仿宋" w:cs="仿宋"/>
          <w:b/>
          <w:bCs/>
          <w:color w:val="000000"/>
          <w:sz w:val="24"/>
        </w:rPr>
        <w:t>七、付款时间及付款方式</w:t>
      </w:r>
    </w:p>
    <w:p w14:paraId="472CB896">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1、履约保证金</w:t>
      </w:r>
    </w:p>
    <w:p w14:paraId="594DA2B7">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lang w:val="en-US" w:eastAsia="zh-CN"/>
        </w:rPr>
        <w:t>5</w:t>
      </w:r>
      <w:r>
        <w:rPr>
          <w:rFonts w:hint="eastAsia" w:ascii="仿宋" w:hAnsi="仿宋" w:eastAsia="仿宋" w:cs="仿宋"/>
          <w:szCs w:val="21"/>
        </w:rPr>
        <w:t>%作为履约保证金；</w:t>
      </w:r>
    </w:p>
    <w:p w14:paraId="728F32A3">
      <w:pPr>
        <w:snapToGrid w:val="0"/>
        <w:spacing w:line="360" w:lineRule="auto"/>
        <w:ind w:firstLine="420" w:firstLineChars="200"/>
        <w:rPr>
          <w:rFonts w:ascii="仿宋" w:hAnsi="仿宋" w:eastAsia="仿宋" w:cs="仿宋"/>
          <w:szCs w:val="21"/>
          <w:highlight w:val="none"/>
        </w:rPr>
      </w:pPr>
      <w:r>
        <w:rPr>
          <w:rFonts w:hint="eastAsia" w:ascii="仿宋" w:hAnsi="仿宋" w:eastAsia="仿宋" w:cs="仿宋"/>
          <w:szCs w:val="21"/>
        </w:rPr>
        <w:t>1.2履约保</w:t>
      </w:r>
      <w:r>
        <w:rPr>
          <w:rFonts w:hint="eastAsia" w:ascii="仿宋" w:hAnsi="仿宋" w:eastAsia="仿宋" w:cs="仿宋"/>
          <w:szCs w:val="21"/>
          <w:highlight w:val="none"/>
        </w:rPr>
        <w:t>证金应使用人民币，按</w:t>
      </w:r>
      <w:r>
        <w:rPr>
          <w:rFonts w:hint="eastAsia" w:ascii="仿宋" w:hAnsi="仿宋" w:eastAsia="仿宋" w:cs="仿宋"/>
          <w:szCs w:val="21"/>
          <w:highlight w:val="none"/>
          <w:u w:val="single"/>
        </w:rPr>
        <w:t xml:space="preserve">   银行转账、支票/汇票/本票、保函/保险   </w:t>
      </w:r>
      <w:r>
        <w:rPr>
          <w:rFonts w:hint="eastAsia" w:ascii="仿宋" w:hAnsi="仿宋" w:eastAsia="仿宋" w:cs="仿宋"/>
          <w:szCs w:val="21"/>
          <w:highlight w:val="none"/>
        </w:rPr>
        <w:t xml:space="preserve"> 方式提交；</w:t>
      </w:r>
    </w:p>
    <w:p w14:paraId="23453F5D">
      <w:pPr>
        <w:snapToGrid w:val="0"/>
        <w:spacing w:line="360" w:lineRule="auto"/>
        <w:ind w:firstLine="420" w:firstLineChars="200"/>
        <w:rPr>
          <w:rFonts w:ascii="仿宋" w:hAnsi="仿宋" w:eastAsia="仿宋" w:cs="仿宋"/>
          <w:szCs w:val="21"/>
          <w:highlight w:val="none"/>
        </w:rPr>
      </w:pPr>
      <w:r>
        <w:rPr>
          <w:rFonts w:hint="eastAsia" w:ascii="仿宋" w:hAnsi="仿宋" w:eastAsia="仿宋" w:cs="仿宋"/>
          <w:szCs w:val="21"/>
          <w:highlight w:val="none"/>
        </w:rPr>
        <w:t>1.3设备到货并由甲方验收合格后，乙方申请，甲方应把履约保证金（无息）退还乙方。</w:t>
      </w:r>
    </w:p>
    <w:p w14:paraId="64CEA01E">
      <w:pPr>
        <w:snapToGrid w:val="0"/>
        <w:spacing w:line="360" w:lineRule="auto"/>
        <w:ind w:firstLine="420" w:firstLineChars="200"/>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2、合同款支付（请在确定支付方式前面的“</w:t>
      </w:r>
      <w:r>
        <w:rPr>
          <w:rFonts w:hint="eastAsia" w:ascii="仿宋" w:hAnsi="仿宋" w:eastAsia="仿宋" w:cs="仿宋"/>
          <w:color w:val="000000" w:themeColor="text1"/>
          <w:szCs w:val="21"/>
          <w:highlight w:val="none"/>
          <w14:textFill>
            <w14:solidFill>
              <w14:schemeClr w14:val="tx1"/>
            </w14:solidFill>
          </w14:textFill>
        </w:rPr>
        <w:sym w:font="Wingdings 2" w:char="0052"/>
      </w:r>
      <w:r>
        <w:rPr>
          <w:rFonts w:hint="eastAsia" w:ascii="仿宋" w:hAnsi="仿宋" w:eastAsia="仿宋" w:cs="仿宋"/>
          <w:color w:val="000000" w:themeColor="text1"/>
          <w:szCs w:val="21"/>
          <w:highlight w:val="none"/>
          <w14:textFill>
            <w14:solidFill>
              <w14:schemeClr w14:val="tx1"/>
            </w14:solidFill>
          </w14:textFill>
        </w:rPr>
        <w:t xml:space="preserve"> ”内打“√” ）</w:t>
      </w:r>
    </w:p>
    <w:p w14:paraId="45A06B09">
      <w:pPr>
        <w:snapToGrid w:val="0"/>
        <w:spacing w:line="360" w:lineRule="auto"/>
        <w:ind w:firstLine="420" w:firstLineChars="200"/>
        <w:rPr>
          <w:rFonts w:hint="eastAsia" w:ascii="仿宋" w:hAnsi="仿宋" w:eastAsia="仿宋" w:cs="仿宋"/>
          <w:szCs w:val="21"/>
          <w:highlight w:val="none"/>
          <w:u w:val="single"/>
        </w:rPr>
      </w:pPr>
      <w:r>
        <w:rPr>
          <w:rFonts w:hint="eastAsia" w:ascii="仿宋" w:hAnsi="仿宋" w:eastAsia="仿宋" w:cs="仿宋"/>
          <w:highlight w:val="none"/>
          <w:lang w:eastAsia="zh-CN"/>
        </w:rPr>
        <w:t>合同签订后，供应商开具全额银行保函，采购人收到银行保函正本后，一次性付清合同货款，待货物到达指定地点、安装调试验收合格后，采购人退还银行保函。</w:t>
      </w:r>
    </w:p>
    <w:p w14:paraId="1ADB78F6">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八、违约责任</w:t>
      </w:r>
    </w:p>
    <w:p w14:paraId="0A04B595">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14:paraId="516CD6B9">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0209FF1E">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14:paraId="05E3D004">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14:paraId="0CE835F1">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14:paraId="0E50CB4D">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6BDE7C30">
      <w:pPr>
        <w:snapToGrid w:val="0"/>
        <w:spacing w:line="360" w:lineRule="auto"/>
        <w:ind w:firstLine="420" w:firstLineChars="200"/>
        <w:rPr>
          <w:rFonts w:ascii="仿宋" w:hAnsi="仿宋" w:eastAsia="仿宋" w:cs="仿宋"/>
          <w:strike/>
          <w:dstrike w:val="0"/>
          <w:szCs w:val="21"/>
          <w:highlight w:val="cyan"/>
        </w:rPr>
      </w:pPr>
      <w:r>
        <w:rPr>
          <w:rFonts w:hint="eastAsia" w:ascii="仿宋" w:hAnsi="仿宋" w:eastAsia="仿宋" w:cs="仿宋"/>
          <w:strike w:val="0"/>
          <w:dstrike w:val="0"/>
          <w:szCs w:val="21"/>
          <w:highlight w:val="none"/>
        </w:rPr>
        <w:t>7、合同履约过程中，甲方应积极配合乙方进行设备验收以及验收前的外围配套等工作。</w:t>
      </w:r>
    </w:p>
    <w:p w14:paraId="2C05C020">
      <w:pPr>
        <w:ind w:firstLine="361" w:firstLineChars="150"/>
        <w:rPr>
          <w:rFonts w:ascii="仿宋" w:hAnsi="仿宋" w:eastAsia="仿宋" w:cs="仿宋"/>
          <w:color w:val="000000"/>
          <w:sz w:val="28"/>
          <w:szCs w:val="28"/>
        </w:rPr>
      </w:pPr>
      <w:r>
        <w:rPr>
          <w:rFonts w:hint="eastAsia" w:ascii="仿宋" w:hAnsi="仿宋" w:eastAsia="仿宋" w:cs="仿宋"/>
          <w:b/>
          <w:bCs/>
          <w:color w:val="000000"/>
          <w:sz w:val="24"/>
        </w:rPr>
        <w:t>九、解决合同纠纷方式：双方友好协商解决，协商未果由西安仲裁委员会仲裁。</w:t>
      </w:r>
    </w:p>
    <w:p w14:paraId="2BDB2604">
      <w:pPr>
        <w:ind w:firstLine="361" w:firstLineChars="150"/>
        <w:rPr>
          <w:rFonts w:ascii="仿宋" w:hAnsi="仿宋" w:eastAsia="仿宋" w:cs="仿宋"/>
          <w:b/>
          <w:bCs/>
          <w:color w:val="000000"/>
          <w:sz w:val="24"/>
        </w:rPr>
      </w:pPr>
      <w:r>
        <w:rPr>
          <w:rFonts w:hint="eastAsia" w:ascii="仿宋" w:hAnsi="仿宋" w:eastAsia="仿宋" w:cs="仿宋"/>
          <w:b/>
          <w:bCs/>
          <w:color w:val="000000"/>
          <w:sz w:val="24"/>
        </w:rPr>
        <w:t>十、其它事项</w:t>
      </w:r>
    </w:p>
    <w:p w14:paraId="631A86DC">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1、本合同一式七份，甲方五份，乙方一份，代理机构一份，经甲、乙双方签字盖章后生效，具有同等法律效力。</w:t>
      </w:r>
    </w:p>
    <w:p w14:paraId="494BA105">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2、合同所有附件均为本合同不可分割的组成部分，与本合同具有同等法律效力。</w:t>
      </w:r>
    </w:p>
    <w:p w14:paraId="60619D51">
      <w:pPr>
        <w:spacing w:line="360" w:lineRule="auto"/>
        <w:ind w:firstLine="315" w:firstLineChars="150"/>
        <w:rPr>
          <w:rFonts w:hint="eastAsia" w:ascii="仿宋" w:hAnsi="仿宋" w:eastAsia="仿宋" w:cs="仿宋"/>
          <w:color w:val="000000"/>
          <w:szCs w:val="21"/>
          <w:lang w:val="en-US" w:eastAsia="zh-CN"/>
        </w:rPr>
      </w:pPr>
      <w:r>
        <w:rPr>
          <w:rFonts w:hint="eastAsia" w:ascii="仿宋" w:hAnsi="仿宋" w:eastAsia="仿宋" w:cs="仿宋"/>
          <w:color w:val="000000"/>
          <w:szCs w:val="21"/>
        </w:rPr>
        <w:t>3、甲方招标文件、乙方投标文件均为本合同不可分割的组成部分，与本合同具有同等法律效力。</w:t>
      </w:r>
    </w:p>
    <w:tbl>
      <w:tblPr>
        <w:tblStyle w:val="3"/>
        <w:tblW w:w="9363" w:type="dxa"/>
        <w:jc w:val="center"/>
        <w:tblLayout w:type="fixed"/>
        <w:tblCellMar>
          <w:top w:w="0" w:type="dxa"/>
          <w:left w:w="108" w:type="dxa"/>
          <w:bottom w:w="0" w:type="dxa"/>
          <w:right w:w="108" w:type="dxa"/>
        </w:tblCellMar>
      </w:tblPr>
      <w:tblGrid>
        <w:gridCol w:w="3780"/>
        <w:gridCol w:w="3088"/>
        <w:gridCol w:w="2495"/>
      </w:tblGrid>
      <w:tr w14:paraId="0546208B">
        <w:tblPrEx>
          <w:tblCellMar>
            <w:top w:w="0" w:type="dxa"/>
            <w:left w:w="108" w:type="dxa"/>
            <w:bottom w:w="0" w:type="dxa"/>
            <w:right w:w="108" w:type="dxa"/>
          </w:tblCellMar>
        </w:tblPrEx>
        <w:trPr>
          <w:jc w:val="center"/>
        </w:trPr>
        <w:tc>
          <w:tcPr>
            <w:tcW w:w="3780" w:type="dxa"/>
            <w:vAlign w:val="center"/>
          </w:tcPr>
          <w:p w14:paraId="5CF5A0B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甲方：西安石油大学（盖章）</w:t>
            </w:r>
          </w:p>
        </w:tc>
        <w:tc>
          <w:tcPr>
            <w:tcW w:w="3088" w:type="dxa"/>
            <w:vAlign w:val="center"/>
          </w:tcPr>
          <w:p w14:paraId="6BD40B40">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乙方：××公司（盖章）</w:t>
            </w:r>
          </w:p>
        </w:tc>
        <w:tc>
          <w:tcPr>
            <w:tcW w:w="2495" w:type="dxa"/>
            <w:vMerge w:val="restart"/>
          </w:tcPr>
          <w:p w14:paraId="2C4B1FB7">
            <w:pPr>
              <w:spacing w:line="360" w:lineRule="auto"/>
              <w:rPr>
                <w:rFonts w:ascii="仿宋" w:hAnsi="仿宋" w:eastAsia="仿宋" w:cs="仿宋"/>
                <w:color w:val="000000"/>
                <w:szCs w:val="21"/>
              </w:rPr>
            </w:pPr>
            <w:r>
              <w:rPr>
                <w:rFonts w:hint="eastAsia" w:ascii="仿宋" w:hAnsi="仿宋" w:eastAsia="仿宋" w:cs="仿宋"/>
                <w:color w:val="000000"/>
                <w:szCs w:val="21"/>
              </w:rPr>
              <w:t>见证方：××（盖章）</w:t>
            </w:r>
          </w:p>
        </w:tc>
      </w:tr>
      <w:tr w14:paraId="5F65BED9">
        <w:tblPrEx>
          <w:tblCellMar>
            <w:top w:w="0" w:type="dxa"/>
            <w:left w:w="108" w:type="dxa"/>
            <w:bottom w:w="0" w:type="dxa"/>
            <w:right w:w="108" w:type="dxa"/>
          </w:tblCellMar>
        </w:tblPrEx>
        <w:trPr>
          <w:jc w:val="center"/>
        </w:trPr>
        <w:tc>
          <w:tcPr>
            <w:tcW w:w="3780" w:type="dxa"/>
            <w:vAlign w:val="center"/>
          </w:tcPr>
          <w:p w14:paraId="6B9A926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3088" w:type="dxa"/>
            <w:vAlign w:val="center"/>
          </w:tcPr>
          <w:p w14:paraId="772CB578">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法人或委托代理人：</w:t>
            </w:r>
          </w:p>
        </w:tc>
        <w:tc>
          <w:tcPr>
            <w:tcW w:w="2495" w:type="dxa"/>
            <w:vMerge w:val="continue"/>
            <w:vAlign w:val="center"/>
          </w:tcPr>
          <w:p w14:paraId="6F5431A4">
            <w:pPr>
              <w:spacing w:line="360" w:lineRule="auto"/>
              <w:ind w:firstLine="315" w:firstLineChars="150"/>
              <w:rPr>
                <w:rFonts w:ascii="仿宋" w:hAnsi="仿宋" w:eastAsia="仿宋" w:cs="仿宋"/>
                <w:color w:val="000000"/>
                <w:szCs w:val="21"/>
              </w:rPr>
            </w:pPr>
          </w:p>
        </w:tc>
      </w:tr>
      <w:tr w14:paraId="0D7784CE">
        <w:tblPrEx>
          <w:tblCellMar>
            <w:top w:w="0" w:type="dxa"/>
            <w:left w:w="108" w:type="dxa"/>
            <w:bottom w:w="0" w:type="dxa"/>
            <w:right w:w="108" w:type="dxa"/>
          </w:tblCellMar>
        </w:tblPrEx>
        <w:trPr>
          <w:jc w:val="center"/>
        </w:trPr>
        <w:tc>
          <w:tcPr>
            <w:tcW w:w="3780" w:type="dxa"/>
            <w:vAlign w:val="center"/>
          </w:tcPr>
          <w:p w14:paraId="3D4617D3">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户名：西安石油大学</w:t>
            </w:r>
          </w:p>
        </w:tc>
        <w:tc>
          <w:tcPr>
            <w:tcW w:w="3088" w:type="dxa"/>
            <w:vAlign w:val="center"/>
          </w:tcPr>
          <w:p w14:paraId="7FC54AC7">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户名：</w:t>
            </w:r>
          </w:p>
        </w:tc>
        <w:tc>
          <w:tcPr>
            <w:tcW w:w="2495" w:type="dxa"/>
            <w:vMerge w:val="continue"/>
            <w:vAlign w:val="center"/>
          </w:tcPr>
          <w:p w14:paraId="477E6071">
            <w:pPr>
              <w:spacing w:line="360" w:lineRule="auto"/>
              <w:ind w:firstLine="315" w:firstLineChars="150"/>
              <w:rPr>
                <w:rFonts w:ascii="仿宋" w:hAnsi="仿宋" w:eastAsia="仿宋" w:cs="仿宋"/>
                <w:color w:val="000000"/>
                <w:szCs w:val="21"/>
              </w:rPr>
            </w:pPr>
          </w:p>
        </w:tc>
      </w:tr>
      <w:tr w14:paraId="647A7B0E">
        <w:tblPrEx>
          <w:tblCellMar>
            <w:top w:w="0" w:type="dxa"/>
            <w:left w:w="108" w:type="dxa"/>
            <w:bottom w:w="0" w:type="dxa"/>
            <w:right w:w="108" w:type="dxa"/>
          </w:tblCellMar>
        </w:tblPrEx>
        <w:trPr>
          <w:jc w:val="center"/>
        </w:trPr>
        <w:tc>
          <w:tcPr>
            <w:tcW w:w="3780" w:type="dxa"/>
            <w:vAlign w:val="center"/>
          </w:tcPr>
          <w:p w14:paraId="5FDC4FE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开户行：工行西安电子工业区支行</w:t>
            </w:r>
          </w:p>
        </w:tc>
        <w:tc>
          <w:tcPr>
            <w:tcW w:w="3088" w:type="dxa"/>
            <w:vAlign w:val="center"/>
          </w:tcPr>
          <w:p w14:paraId="38C9B804">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开户行：</w:t>
            </w:r>
          </w:p>
        </w:tc>
        <w:tc>
          <w:tcPr>
            <w:tcW w:w="2495" w:type="dxa"/>
            <w:vAlign w:val="center"/>
          </w:tcPr>
          <w:p w14:paraId="5A6798C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代表签字：</w:t>
            </w:r>
          </w:p>
        </w:tc>
      </w:tr>
      <w:tr w14:paraId="14ABEA14">
        <w:tblPrEx>
          <w:tblCellMar>
            <w:top w:w="0" w:type="dxa"/>
            <w:left w:w="108" w:type="dxa"/>
            <w:bottom w:w="0" w:type="dxa"/>
            <w:right w:w="108" w:type="dxa"/>
          </w:tblCellMar>
        </w:tblPrEx>
        <w:trPr>
          <w:jc w:val="center"/>
        </w:trPr>
        <w:tc>
          <w:tcPr>
            <w:tcW w:w="3780" w:type="dxa"/>
            <w:vAlign w:val="center"/>
          </w:tcPr>
          <w:p w14:paraId="7A70C0DA">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帐号：3700023209014488850</w:t>
            </w:r>
          </w:p>
        </w:tc>
        <w:tc>
          <w:tcPr>
            <w:tcW w:w="3088" w:type="dxa"/>
            <w:vAlign w:val="center"/>
          </w:tcPr>
          <w:p w14:paraId="0B89FCCE">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帐号：</w:t>
            </w:r>
          </w:p>
        </w:tc>
        <w:tc>
          <w:tcPr>
            <w:tcW w:w="2495" w:type="dxa"/>
            <w:vAlign w:val="center"/>
          </w:tcPr>
          <w:p w14:paraId="0EA92A4B">
            <w:pPr>
              <w:spacing w:line="360" w:lineRule="auto"/>
              <w:ind w:firstLine="315" w:firstLineChars="150"/>
              <w:rPr>
                <w:rFonts w:ascii="仿宋" w:hAnsi="仿宋" w:eastAsia="仿宋" w:cs="仿宋"/>
                <w:color w:val="000000"/>
                <w:szCs w:val="21"/>
              </w:rPr>
            </w:pPr>
          </w:p>
        </w:tc>
      </w:tr>
      <w:tr w14:paraId="32A69E2D">
        <w:tblPrEx>
          <w:tblCellMar>
            <w:top w:w="0" w:type="dxa"/>
            <w:left w:w="108" w:type="dxa"/>
            <w:bottom w:w="0" w:type="dxa"/>
            <w:right w:w="108" w:type="dxa"/>
          </w:tblCellMar>
        </w:tblPrEx>
        <w:trPr>
          <w:jc w:val="center"/>
        </w:trPr>
        <w:tc>
          <w:tcPr>
            <w:tcW w:w="3780" w:type="dxa"/>
            <w:vAlign w:val="center"/>
          </w:tcPr>
          <w:p w14:paraId="14811388">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电话：029—88382337</w:t>
            </w:r>
          </w:p>
        </w:tc>
        <w:tc>
          <w:tcPr>
            <w:tcW w:w="3088" w:type="dxa"/>
            <w:vAlign w:val="center"/>
          </w:tcPr>
          <w:p w14:paraId="3CF0029B">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 xml:space="preserve">电话: </w:t>
            </w:r>
          </w:p>
        </w:tc>
        <w:tc>
          <w:tcPr>
            <w:tcW w:w="2495" w:type="dxa"/>
            <w:vAlign w:val="center"/>
          </w:tcPr>
          <w:p w14:paraId="39B586E3">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电话：</w:t>
            </w:r>
          </w:p>
        </w:tc>
      </w:tr>
      <w:tr w14:paraId="4A826313">
        <w:tblPrEx>
          <w:tblCellMar>
            <w:top w:w="0" w:type="dxa"/>
            <w:left w:w="108" w:type="dxa"/>
            <w:bottom w:w="0" w:type="dxa"/>
            <w:right w:w="108" w:type="dxa"/>
          </w:tblCellMar>
        </w:tblPrEx>
        <w:trPr>
          <w:jc w:val="center"/>
        </w:trPr>
        <w:tc>
          <w:tcPr>
            <w:tcW w:w="3780" w:type="dxa"/>
            <w:vAlign w:val="center"/>
          </w:tcPr>
          <w:p w14:paraId="16BD004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地址：西安市电子二路18号</w:t>
            </w:r>
          </w:p>
        </w:tc>
        <w:tc>
          <w:tcPr>
            <w:tcW w:w="3088" w:type="dxa"/>
            <w:vAlign w:val="center"/>
          </w:tcPr>
          <w:p w14:paraId="2F1777F1">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c>
          <w:tcPr>
            <w:tcW w:w="2495" w:type="dxa"/>
            <w:vAlign w:val="center"/>
          </w:tcPr>
          <w:p w14:paraId="073A3992">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地址：</w:t>
            </w:r>
          </w:p>
        </w:tc>
      </w:tr>
      <w:tr w14:paraId="1C0085E7">
        <w:tblPrEx>
          <w:tblCellMar>
            <w:top w:w="0" w:type="dxa"/>
            <w:left w:w="108" w:type="dxa"/>
            <w:bottom w:w="0" w:type="dxa"/>
            <w:right w:w="108" w:type="dxa"/>
          </w:tblCellMar>
        </w:tblPrEx>
        <w:trPr>
          <w:jc w:val="center"/>
        </w:trPr>
        <w:tc>
          <w:tcPr>
            <w:tcW w:w="3780" w:type="dxa"/>
            <w:vAlign w:val="center"/>
          </w:tcPr>
          <w:p w14:paraId="24532DA6">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3088" w:type="dxa"/>
            <w:vAlign w:val="center"/>
          </w:tcPr>
          <w:p w14:paraId="6068970D">
            <w:pPr>
              <w:spacing w:line="360" w:lineRule="auto"/>
              <w:ind w:firstLine="315" w:firstLineChars="150"/>
              <w:rPr>
                <w:rFonts w:ascii="仿宋" w:hAnsi="仿宋" w:eastAsia="仿宋" w:cs="仿宋"/>
                <w:color w:val="000000"/>
                <w:szCs w:val="21"/>
              </w:rPr>
            </w:pPr>
            <w:r>
              <w:rPr>
                <w:rFonts w:hint="eastAsia" w:ascii="仿宋" w:hAnsi="仿宋" w:eastAsia="仿宋" w:cs="仿宋"/>
                <w:color w:val="000000"/>
                <w:szCs w:val="21"/>
              </w:rPr>
              <w:t>日期: 202  年  月  日</w:t>
            </w:r>
          </w:p>
        </w:tc>
        <w:tc>
          <w:tcPr>
            <w:tcW w:w="2495" w:type="dxa"/>
            <w:vAlign w:val="center"/>
          </w:tcPr>
          <w:p w14:paraId="5C1BD04D">
            <w:pPr>
              <w:spacing w:line="360" w:lineRule="auto"/>
              <w:ind w:firstLine="315" w:firstLineChars="150"/>
              <w:rPr>
                <w:rFonts w:ascii="仿宋" w:hAnsi="仿宋" w:eastAsia="仿宋" w:cs="仿宋"/>
                <w:color w:val="000000"/>
                <w:szCs w:val="21"/>
              </w:rPr>
            </w:pPr>
          </w:p>
        </w:tc>
      </w:tr>
    </w:tbl>
    <w:p w14:paraId="0A770203">
      <w:pPr>
        <w:ind w:firstLine="480" w:firstLineChars="150"/>
        <w:jc w:val="center"/>
        <w:rPr>
          <w:color w:val="000000"/>
          <w:sz w:val="32"/>
          <w:szCs w:val="32"/>
        </w:rPr>
      </w:pPr>
    </w:p>
    <w:p w14:paraId="414DD733">
      <w:pPr>
        <w:ind w:firstLine="480" w:firstLineChars="150"/>
        <w:jc w:val="center"/>
        <w:rPr>
          <w:color w:val="000000"/>
          <w:sz w:val="32"/>
          <w:szCs w:val="32"/>
        </w:rPr>
      </w:pPr>
    </w:p>
    <w:p w14:paraId="6046109E">
      <w:pPr>
        <w:ind w:firstLine="480" w:firstLineChars="150"/>
        <w:jc w:val="center"/>
        <w:rPr>
          <w:color w:val="000000"/>
          <w:sz w:val="32"/>
          <w:szCs w:val="32"/>
        </w:rPr>
      </w:pPr>
    </w:p>
    <w:p w14:paraId="0A2C9D1C">
      <w:pPr>
        <w:ind w:firstLine="480" w:firstLineChars="150"/>
        <w:jc w:val="center"/>
        <w:rPr>
          <w:color w:val="000000"/>
          <w:sz w:val="32"/>
          <w:szCs w:val="32"/>
        </w:rPr>
      </w:pPr>
    </w:p>
    <w:p w14:paraId="0D4396DC">
      <w:pPr>
        <w:rPr>
          <w:color w:val="000000"/>
          <w:sz w:val="32"/>
          <w:szCs w:val="32"/>
        </w:rPr>
      </w:pPr>
      <w:r>
        <w:rPr>
          <w:color w:val="000000"/>
          <w:sz w:val="32"/>
          <w:szCs w:val="32"/>
        </w:rPr>
        <w:br w:type="page"/>
      </w:r>
    </w:p>
    <w:p w14:paraId="3E8197DF">
      <w:pPr>
        <w:ind w:firstLine="452" w:firstLineChars="150"/>
        <w:jc w:val="center"/>
        <w:rPr>
          <w:rFonts w:ascii="仿宋" w:hAnsi="仿宋" w:eastAsia="仿宋" w:cs="仿宋"/>
          <w:color w:val="000000"/>
          <w:sz w:val="24"/>
        </w:rPr>
      </w:pPr>
      <w:r>
        <w:rPr>
          <w:rFonts w:hint="eastAsia" w:ascii="仿宋" w:hAnsi="仿宋" w:eastAsia="仿宋" w:cs="仿宋"/>
          <w:b/>
          <w:bCs/>
          <w:color w:val="000000"/>
          <w:sz w:val="30"/>
          <w:szCs w:val="30"/>
        </w:rPr>
        <w:t>××技术协议</w:t>
      </w:r>
    </w:p>
    <w:p w14:paraId="2335DD58">
      <w:pPr>
        <w:ind w:firstLine="361" w:firstLineChars="150"/>
        <w:rPr>
          <w:rFonts w:ascii="仿宋" w:hAnsi="仿宋" w:eastAsia="仿宋" w:cs="仿宋"/>
          <w:b/>
          <w:color w:val="FF0000"/>
          <w:sz w:val="24"/>
        </w:rPr>
      </w:pPr>
      <w:r>
        <w:rPr>
          <w:rFonts w:hint="eastAsia" w:ascii="仿宋" w:hAnsi="仿宋" w:eastAsia="仿宋" w:cs="仿宋"/>
          <w:b/>
          <w:color w:val="FF0000"/>
          <w:sz w:val="24"/>
        </w:rPr>
        <w:t>注：若技术参数等内容较少并能在合同中准确完整的描述，则不需单独签订技术协议。</w:t>
      </w:r>
    </w:p>
    <w:p w14:paraId="36BAC8FD">
      <w:pPr>
        <w:tabs>
          <w:tab w:val="left" w:pos="2880"/>
        </w:tabs>
        <w:ind w:firstLine="360" w:firstLineChars="150"/>
        <w:rPr>
          <w:rFonts w:ascii="仿宋" w:hAnsi="仿宋" w:eastAsia="仿宋" w:cs="仿宋"/>
          <w:color w:val="000000"/>
          <w:sz w:val="24"/>
        </w:rPr>
      </w:pPr>
      <w:r>
        <w:rPr>
          <w:rFonts w:hint="eastAsia" w:ascii="仿宋" w:hAnsi="仿宋" w:eastAsia="仿宋" w:cs="仿宋"/>
          <w:color w:val="000000"/>
          <w:sz w:val="24"/>
        </w:rPr>
        <w:t>甲方：西安石油大学</w:t>
      </w:r>
      <w:r>
        <w:rPr>
          <w:rFonts w:hint="eastAsia" w:ascii="仿宋" w:hAnsi="仿宋" w:eastAsia="仿宋" w:cs="仿宋"/>
          <w:color w:val="000000"/>
          <w:sz w:val="24"/>
        </w:rPr>
        <w:tab/>
      </w:r>
    </w:p>
    <w:p w14:paraId="4AF126FC">
      <w:pPr>
        <w:ind w:firstLine="360" w:firstLineChars="150"/>
        <w:rPr>
          <w:rFonts w:ascii="仿宋" w:hAnsi="仿宋" w:eastAsia="仿宋" w:cs="仿宋"/>
          <w:color w:val="000000"/>
          <w:sz w:val="24"/>
        </w:rPr>
      </w:pPr>
      <w:r>
        <w:rPr>
          <w:rFonts w:hint="eastAsia" w:ascii="仿宋" w:hAnsi="仿宋" w:eastAsia="仿宋" w:cs="仿宋"/>
          <w:color w:val="000000"/>
          <w:sz w:val="24"/>
        </w:rPr>
        <w:t>乙方：××公司</w:t>
      </w:r>
    </w:p>
    <w:p w14:paraId="4EB039FF">
      <w:pPr>
        <w:ind w:firstLine="360" w:firstLineChars="150"/>
        <w:rPr>
          <w:rFonts w:ascii="仿宋" w:hAnsi="仿宋" w:eastAsia="仿宋" w:cs="仿宋"/>
          <w:color w:val="000000"/>
          <w:sz w:val="24"/>
        </w:rPr>
      </w:pPr>
      <w:r>
        <w:rPr>
          <w:rFonts w:hint="eastAsia" w:ascii="仿宋" w:hAnsi="仿宋" w:eastAsia="仿宋" w:cs="仿宋"/>
          <w:color w:val="000000"/>
          <w:sz w:val="24"/>
        </w:rPr>
        <w:t>西安石油大学（以下简称甲方）和××公司（以下简称乙方）通过谈判，就甲方××院××购置，达成以下技术协议：</w:t>
      </w:r>
    </w:p>
    <w:p w14:paraId="00685CA3">
      <w:pPr>
        <w:ind w:firstLine="360" w:firstLineChars="150"/>
        <w:rPr>
          <w:rFonts w:ascii="仿宋" w:hAnsi="仿宋" w:eastAsia="仿宋" w:cs="仿宋"/>
          <w:color w:val="000000"/>
          <w:sz w:val="24"/>
        </w:rPr>
      </w:pPr>
      <w:r>
        <w:rPr>
          <w:rFonts w:hint="eastAsia" w:ascii="仿宋" w:hAnsi="仿宋" w:eastAsia="仿宋" w:cs="仿宋"/>
          <w:color w:val="000000"/>
          <w:sz w:val="24"/>
        </w:rPr>
        <w:t>一、设备名称、规格型号、生产厂家</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270"/>
        <w:gridCol w:w="2541"/>
        <w:gridCol w:w="2149"/>
      </w:tblGrid>
      <w:tr w14:paraId="4BF30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44877C00">
            <w:pPr>
              <w:jc w:val="center"/>
              <w:rPr>
                <w:rFonts w:ascii="仿宋" w:hAnsi="仿宋" w:eastAsia="仿宋" w:cs="仿宋"/>
                <w:color w:val="000000"/>
                <w:sz w:val="24"/>
              </w:rPr>
            </w:pPr>
            <w:r>
              <w:rPr>
                <w:rFonts w:hint="eastAsia" w:ascii="仿宋" w:hAnsi="仿宋" w:eastAsia="仿宋" w:cs="仿宋"/>
                <w:color w:val="000000"/>
                <w:sz w:val="24"/>
              </w:rPr>
              <w:t>序号</w:t>
            </w:r>
          </w:p>
        </w:tc>
        <w:tc>
          <w:tcPr>
            <w:tcW w:w="2270" w:type="dxa"/>
            <w:vAlign w:val="center"/>
          </w:tcPr>
          <w:p w14:paraId="2235A7AF">
            <w:pPr>
              <w:jc w:val="center"/>
              <w:rPr>
                <w:rFonts w:ascii="仿宋" w:hAnsi="仿宋" w:eastAsia="仿宋" w:cs="仿宋"/>
                <w:color w:val="000000"/>
                <w:sz w:val="24"/>
              </w:rPr>
            </w:pPr>
            <w:r>
              <w:rPr>
                <w:rFonts w:hint="eastAsia" w:ascii="仿宋" w:hAnsi="仿宋" w:eastAsia="仿宋" w:cs="仿宋"/>
                <w:color w:val="000000"/>
                <w:sz w:val="24"/>
              </w:rPr>
              <w:t>设备名称</w:t>
            </w:r>
          </w:p>
        </w:tc>
        <w:tc>
          <w:tcPr>
            <w:tcW w:w="2541" w:type="dxa"/>
            <w:vAlign w:val="center"/>
          </w:tcPr>
          <w:p w14:paraId="15632F69">
            <w:pPr>
              <w:jc w:val="center"/>
              <w:rPr>
                <w:rFonts w:ascii="仿宋" w:hAnsi="仿宋" w:eastAsia="仿宋" w:cs="仿宋"/>
                <w:color w:val="000000"/>
                <w:sz w:val="24"/>
              </w:rPr>
            </w:pPr>
            <w:r>
              <w:rPr>
                <w:rFonts w:hint="eastAsia" w:ascii="仿宋" w:hAnsi="仿宋" w:eastAsia="仿宋" w:cs="仿宋"/>
                <w:color w:val="000000"/>
                <w:sz w:val="24"/>
              </w:rPr>
              <w:t>规格型号</w:t>
            </w:r>
          </w:p>
        </w:tc>
        <w:tc>
          <w:tcPr>
            <w:tcW w:w="2149" w:type="dxa"/>
            <w:vAlign w:val="center"/>
          </w:tcPr>
          <w:p w14:paraId="1D337965">
            <w:pPr>
              <w:jc w:val="center"/>
              <w:rPr>
                <w:rFonts w:ascii="仿宋" w:hAnsi="仿宋" w:eastAsia="仿宋" w:cs="仿宋"/>
                <w:color w:val="000000"/>
                <w:sz w:val="24"/>
              </w:rPr>
            </w:pPr>
            <w:r>
              <w:rPr>
                <w:rFonts w:hint="eastAsia" w:ascii="仿宋" w:hAnsi="仿宋" w:eastAsia="仿宋" w:cs="仿宋"/>
                <w:color w:val="000000"/>
                <w:sz w:val="24"/>
              </w:rPr>
              <w:t>生产厂家</w:t>
            </w:r>
          </w:p>
        </w:tc>
      </w:tr>
      <w:tr w14:paraId="2A2F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6" w:type="dxa"/>
            <w:vAlign w:val="center"/>
          </w:tcPr>
          <w:p w14:paraId="67D8550D">
            <w:pPr>
              <w:ind w:firstLine="360" w:firstLineChars="150"/>
              <w:rPr>
                <w:rFonts w:ascii="仿宋" w:hAnsi="仿宋" w:eastAsia="仿宋" w:cs="仿宋"/>
                <w:color w:val="000000"/>
                <w:sz w:val="24"/>
              </w:rPr>
            </w:pPr>
          </w:p>
        </w:tc>
        <w:tc>
          <w:tcPr>
            <w:tcW w:w="2270" w:type="dxa"/>
            <w:vAlign w:val="center"/>
          </w:tcPr>
          <w:p w14:paraId="66083F61">
            <w:pPr>
              <w:ind w:firstLine="360" w:firstLineChars="150"/>
              <w:rPr>
                <w:rFonts w:ascii="仿宋" w:hAnsi="仿宋" w:eastAsia="仿宋" w:cs="仿宋"/>
                <w:color w:val="000000"/>
                <w:sz w:val="24"/>
              </w:rPr>
            </w:pPr>
          </w:p>
        </w:tc>
        <w:tc>
          <w:tcPr>
            <w:tcW w:w="2541" w:type="dxa"/>
            <w:vAlign w:val="center"/>
          </w:tcPr>
          <w:p w14:paraId="29E87651">
            <w:pPr>
              <w:ind w:firstLine="360" w:firstLineChars="150"/>
              <w:rPr>
                <w:rFonts w:ascii="仿宋" w:hAnsi="仿宋" w:eastAsia="仿宋" w:cs="仿宋"/>
                <w:color w:val="000000"/>
                <w:sz w:val="24"/>
              </w:rPr>
            </w:pPr>
          </w:p>
        </w:tc>
        <w:tc>
          <w:tcPr>
            <w:tcW w:w="2149" w:type="dxa"/>
            <w:vAlign w:val="center"/>
          </w:tcPr>
          <w:p w14:paraId="134EB33C">
            <w:pPr>
              <w:ind w:firstLine="360" w:firstLineChars="150"/>
              <w:rPr>
                <w:rFonts w:ascii="仿宋" w:hAnsi="仿宋" w:eastAsia="仿宋" w:cs="仿宋"/>
                <w:color w:val="000000"/>
                <w:sz w:val="24"/>
              </w:rPr>
            </w:pPr>
          </w:p>
        </w:tc>
      </w:tr>
    </w:tbl>
    <w:p w14:paraId="294F01D4">
      <w:pPr>
        <w:ind w:firstLine="360" w:firstLineChars="150"/>
        <w:rPr>
          <w:rFonts w:ascii="仿宋" w:hAnsi="仿宋" w:eastAsia="仿宋" w:cs="仿宋"/>
          <w:color w:val="000000"/>
          <w:sz w:val="24"/>
        </w:rPr>
      </w:pPr>
      <w:r>
        <w:rPr>
          <w:rFonts w:hint="eastAsia" w:ascii="仿宋" w:hAnsi="仿宋" w:eastAsia="仿宋" w:cs="仿宋"/>
          <w:color w:val="000000"/>
          <w:sz w:val="24"/>
        </w:rPr>
        <w:t>二、设备配置及技术指标:</w:t>
      </w:r>
    </w:p>
    <w:p w14:paraId="57E04315">
      <w:pPr>
        <w:ind w:firstLine="240" w:firstLineChars="100"/>
        <w:rPr>
          <w:rFonts w:ascii="仿宋" w:hAnsi="仿宋" w:eastAsia="仿宋" w:cs="仿宋"/>
          <w:color w:val="000000"/>
          <w:sz w:val="24"/>
        </w:rPr>
      </w:pPr>
      <w:r>
        <w:rPr>
          <w:rFonts w:hint="eastAsia" w:ascii="仿宋" w:hAnsi="仿宋" w:eastAsia="仿宋" w:cs="仿宋"/>
          <w:color w:val="000000"/>
          <w:sz w:val="24"/>
        </w:rPr>
        <w:t xml:space="preserve"> 1、××××××××××；</w:t>
      </w:r>
    </w:p>
    <w:p w14:paraId="013186A1">
      <w:pPr>
        <w:ind w:firstLine="360" w:firstLineChars="150"/>
        <w:rPr>
          <w:rFonts w:ascii="仿宋" w:hAnsi="仿宋" w:eastAsia="仿宋" w:cs="仿宋"/>
          <w:color w:val="000000"/>
          <w:sz w:val="24"/>
        </w:rPr>
      </w:pPr>
      <w:r>
        <w:rPr>
          <w:rFonts w:hint="eastAsia" w:ascii="仿宋" w:hAnsi="仿宋" w:eastAsia="仿宋" w:cs="仿宋"/>
          <w:color w:val="000000"/>
          <w:sz w:val="24"/>
        </w:rPr>
        <w:t>2、××××××××××；</w:t>
      </w:r>
    </w:p>
    <w:p w14:paraId="4879580E">
      <w:pPr>
        <w:ind w:firstLine="360" w:firstLineChars="150"/>
        <w:rPr>
          <w:rFonts w:ascii="仿宋" w:hAnsi="仿宋" w:eastAsia="仿宋" w:cs="仿宋"/>
          <w:color w:val="000000"/>
          <w:sz w:val="24"/>
        </w:rPr>
      </w:pPr>
      <w:r>
        <w:rPr>
          <w:rFonts w:hint="eastAsia" w:ascii="仿宋" w:hAnsi="仿宋" w:eastAsia="仿宋" w:cs="仿宋"/>
          <w:color w:val="000000"/>
          <w:sz w:val="24"/>
        </w:rPr>
        <w:t>3、××××××××××。</w:t>
      </w:r>
    </w:p>
    <w:p w14:paraId="6658374B">
      <w:pPr>
        <w:ind w:firstLine="360" w:firstLineChars="150"/>
        <w:rPr>
          <w:rFonts w:ascii="仿宋" w:hAnsi="仿宋" w:eastAsia="仿宋" w:cs="仿宋"/>
          <w:color w:val="000000"/>
          <w:sz w:val="24"/>
        </w:rPr>
      </w:pPr>
      <w:r>
        <w:rPr>
          <w:rFonts w:hint="eastAsia" w:ascii="仿宋" w:hAnsi="仿宋" w:eastAsia="仿宋" w:cs="仿宋"/>
          <w:color w:val="000000"/>
          <w:sz w:val="24"/>
        </w:rPr>
        <w:t>三、解决协议纠纷方式：双方友好协商解决，协商未果由西安仲裁委员会仲裁。</w:t>
      </w:r>
    </w:p>
    <w:p w14:paraId="32D15F23">
      <w:pPr>
        <w:ind w:firstLine="360" w:firstLineChars="150"/>
        <w:rPr>
          <w:rFonts w:ascii="仿宋" w:hAnsi="仿宋" w:eastAsia="仿宋" w:cs="仿宋"/>
          <w:color w:val="000000"/>
          <w:sz w:val="24"/>
        </w:rPr>
      </w:pPr>
      <w:r>
        <w:rPr>
          <w:rFonts w:hint="eastAsia" w:ascii="仿宋" w:hAnsi="仿宋" w:eastAsia="仿宋" w:cs="仿宋"/>
          <w:color w:val="000000"/>
          <w:sz w:val="24"/>
        </w:rPr>
        <w:t>四、其它事项</w:t>
      </w:r>
    </w:p>
    <w:p w14:paraId="34C16E20">
      <w:pPr>
        <w:ind w:firstLine="360" w:firstLineChars="150"/>
        <w:rPr>
          <w:rFonts w:ascii="仿宋" w:hAnsi="仿宋" w:eastAsia="仿宋" w:cs="仿宋"/>
          <w:color w:val="000000"/>
          <w:sz w:val="24"/>
        </w:rPr>
      </w:pPr>
      <w:r>
        <w:rPr>
          <w:rFonts w:hint="eastAsia" w:ascii="仿宋" w:hAnsi="仿宋" w:eastAsia="仿宋" w:cs="仿宋"/>
          <w:color w:val="000000"/>
          <w:sz w:val="24"/>
        </w:rPr>
        <w:t>1、本协议作为设备购置合同附件与合同同时生效。</w:t>
      </w:r>
    </w:p>
    <w:p w14:paraId="6278549C">
      <w:pPr>
        <w:ind w:firstLine="360" w:firstLineChars="150"/>
        <w:rPr>
          <w:rFonts w:ascii="仿宋" w:hAnsi="仿宋" w:eastAsia="仿宋" w:cs="仿宋"/>
          <w:color w:val="000000"/>
          <w:sz w:val="24"/>
        </w:rPr>
      </w:pPr>
      <w:r>
        <w:rPr>
          <w:rFonts w:hint="eastAsia" w:ascii="仿宋" w:hAnsi="仿宋" w:eastAsia="仿宋" w:cs="仿宋"/>
          <w:color w:val="000000"/>
          <w:sz w:val="24"/>
        </w:rPr>
        <w:t>2、本协议一式七份，甲方五份，乙方一份，代理机构一份，经甲、乙双方签字盖章后生效。</w:t>
      </w:r>
    </w:p>
    <w:p w14:paraId="11C28B8E">
      <w:pPr>
        <w:ind w:firstLine="360" w:firstLineChars="150"/>
        <w:rPr>
          <w:rFonts w:ascii="仿宋" w:hAnsi="仿宋" w:eastAsia="仿宋" w:cs="仿宋"/>
          <w:color w:val="000000"/>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5732E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33373485">
            <w:pPr>
              <w:ind w:firstLine="360" w:firstLineChars="150"/>
              <w:rPr>
                <w:rFonts w:ascii="仿宋" w:hAnsi="仿宋" w:eastAsia="仿宋" w:cs="仿宋"/>
                <w:color w:val="000000"/>
                <w:sz w:val="24"/>
              </w:rPr>
            </w:pPr>
            <w:r>
              <w:rPr>
                <w:rFonts w:hint="eastAsia" w:ascii="仿宋" w:hAnsi="仿宋" w:eastAsia="仿宋" w:cs="仿宋"/>
                <w:color w:val="000000"/>
                <w:sz w:val="24"/>
              </w:rPr>
              <w:t>甲  方</w:t>
            </w:r>
          </w:p>
        </w:tc>
        <w:tc>
          <w:tcPr>
            <w:tcW w:w="4829" w:type="dxa"/>
            <w:tcBorders>
              <w:top w:val="nil"/>
              <w:left w:val="nil"/>
              <w:bottom w:val="nil"/>
              <w:right w:val="nil"/>
            </w:tcBorders>
            <w:vAlign w:val="center"/>
          </w:tcPr>
          <w:p w14:paraId="71923439">
            <w:pPr>
              <w:ind w:firstLine="360" w:firstLineChars="150"/>
              <w:rPr>
                <w:rFonts w:ascii="仿宋" w:hAnsi="仿宋" w:eastAsia="仿宋" w:cs="仿宋"/>
                <w:color w:val="000000"/>
                <w:sz w:val="24"/>
              </w:rPr>
            </w:pPr>
            <w:r>
              <w:rPr>
                <w:rFonts w:hint="eastAsia" w:ascii="仿宋" w:hAnsi="仿宋" w:eastAsia="仿宋" w:cs="仿宋"/>
                <w:color w:val="000000"/>
                <w:sz w:val="24"/>
              </w:rPr>
              <w:t>乙  方</w:t>
            </w:r>
          </w:p>
        </w:tc>
      </w:tr>
      <w:tr w14:paraId="19CB9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7295D565">
            <w:pPr>
              <w:ind w:firstLine="360" w:firstLineChars="150"/>
              <w:rPr>
                <w:rFonts w:ascii="仿宋" w:hAnsi="仿宋" w:eastAsia="仿宋" w:cs="仿宋"/>
                <w:color w:val="000000"/>
                <w:sz w:val="24"/>
              </w:rPr>
            </w:pPr>
            <w:r>
              <w:rPr>
                <w:rFonts w:hint="eastAsia" w:ascii="仿宋" w:hAnsi="仿宋" w:eastAsia="仿宋" w:cs="仿宋"/>
                <w:color w:val="000000"/>
                <w:sz w:val="24"/>
              </w:rPr>
              <w:t>单位名称：西安石油大学XXXX（部门）</w:t>
            </w:r>
          </w:p>
        </w:tc>
        <w:tc>
          <w:tcPr>
            <w:tcW w:w="4829" w:type="dxa"/>
            <w:tcBorders>
              <w:top w:val="nil"/>
              <w:left w:val="nil"/>
              <w:bottom w:val="nil"/>
              <w:right w:val="nil"/>
            </w:tcBorders>
            <w:vAlign w:val="center"/>
          </w:tcPr>
          <w:p w14:paraId="5B440BE8">
            <w:pPr>
              <w:ind w:firstLine="360" w:firstLineChars="150"/>
              <w:rPr>
                <w:rFonts w:ascii="仿宋" w:hAnsi="仿宋" w:eastAsia="仿宋" w:cs="仿宋"/>
                <w:color w:val="000000"/>
                <w:sz w:val="24"/>
              </w:rPr>
            </w:pPr>
            <w:r>
              <w:rPr>
                <w:rFonts w:hint="eastAsia" w:ascii="仿宋" w:hAnsi="仿宋" w:eastAsia="仿宋" w:cs="仿宋"/>
                <w:color w:val="000000"/>
                <w:sz w:val="24"/>
              </w:rPr>
              <w:t>单位名称：××公司</w:t>
            </w:r>
          </w:p>
        </w:tc>
      </w:tr>
      <w:tr w14:paraId="44E2A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57B7F17F">
            <w:pPr>
              <w:ind w:firstLine="360" w:firstLineChars="150"/>
              <w:rPr>
                <w:rFonts w:ascii="仿宋" w:hAnsi="仿宋" w:eastAsia="仿宋" w:cs="仿宋"/>
                <w:color w:val="000000"/>
                <w:sz w:val="24"/>
              </w:rPr>
            </w:pPr>
            <w:r>
              <w:rPr>
                <w:rFonts w:hint="eastAsia" w:ascii="仿宋" w:hAnsi="仿宋" w:eastAsia="仿宋" w:cs="仿宋"/>
                <w:color w:val="000000"/>
                <w:sz w:val="24"/>
              </w:rPr>
              <w:t>地    址：西安市电子二路18号</w:t>
            </w:r>
          </w:p>
        </w:tc>
        <w:tc>
          <w:tcPr>
            <w:tcW w:w="4829" w:type="dxa"/>
            <w:tcBorders>
              <w:top w:val="nil"/>
              <w:left w:val="nil"/>
              <w:bottom w:val="nil"/>
              <w:right w:val="nil"/>
            </w:tcBorders>
            <w:vAlign w:val="center"/>
          </w:tcPr>
          <w:p w14:paraId="6FF6969D">
            <w:pPr>
              <w:ind w:firstLine="360" w:firstLineChars="150"/>
              <w:rPr>
                <w:rFonts w:ascii="仿宋" w:hAnsi="仿宋" w:eastAsia="仿宋" w:cs="仿宋"/>
                <w:color w:val="000000"/>
                <w:sz w:val="24"/>
              </w:rPr>
            </w:pPr>
            <w:r>
              <w:rPr>
                <w:rFonts w:hint="eastAsia" w:ascii="仿宋" w:hAnsi="仿宋" w:eastAsia="仿宋" w:cs="仿宋"/>
                <w:color w:val="000000"/>
                <w:sz w:val="24"/>
              </w:rPr>
              <w:t xml:space="preserve">地    址： </w:t>
            </w:r>
          </w:p>
        </w:tc>
      </w:tr>
      <w:tr w14:paraId="431FE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91C198F">
            <w:pPr>
              <w:ind w:firstLine="360" w:firstLineChars="150"/>
              <w:rPr>
                <w:rFonts w:ascii="仿宋" w:hAnsi="仿宋" w:eastAsia="仿宋" w:cs="仿宋"/>
                <w:color w:val="000000"/>
                <w:sz w:val="24"/>
              </w:rPr>
            </w:pPr>
            <w:r>
              <w:rPr>
                <w:rFonts w:hint="eastAsia" w:ascii="仿宋" w:hAnsi="仿宋" w:eastAsia="仿宋" w:cs="仿宋"/>
                <w:color w:val="000000"/>
                <w:sz w:val="24"/>
              </w:rPr>
              <w:t>代表人：</w:t>
            </w:r>
          </w:p>
        </w:tc>
        <w:tc>
          <w:tcPr>
            <w:tcW w:w="4829" w:type="dxa"/>
            <w:tcBorders>
              <w:top w:val="nil"/>
              <w:left w:val="nil"/>
              <w:bottom w:val="nil"/>
              <w:right w:val="nil"/>
            </w:tcBorders>
            <w:vAlign w:val="center"/>
          </w:tcPr>
          <w:p w14:paraId="65EC7469">
            <w:pPr>
              <w:ind w:firstLine="360" w:firstLineChars="150"/>
              <w:rPr>
                <w:rFonts w:ascii="仿宋" w:hAnsi="仿宋" w:eastAsia="仿宋" w:cs="仿宋"/>
                <w:color w:val="000000"/>
                <w:sz w:val="24"/>
              </w:rPr>
            </w:pPr>
            <w:r>
              <w:rPr>
                <w:rFonts w:hint="eastAsia" w:ascii="仿宋" w:hAnsi="仿宋" w:eastAsia="仿宋" w:cs="仿宋"/>
                <w:color w:val="000000"/>
                <w:sz w:val="24"/>
              </w:rPr>
              <w:t xml:space="preserve">代表人： </w:t>
            </w:r>
          </w:p>
        </w:tc>
      </w:tr>
      <w:tr w14:paraId="32C1F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3AA4E6D">
            <w:pPr>
              <w:ind w:firstLine="360" w:firstLineChars="150"/>
              <w:rPr>
                <w:rFonts w:ascii="仿宋" w:hAnsi="仿宋" w:eastAsia="仿宋" w:cs="仿宋"/>
                <w:color w:val="000000"/>
                <w:sz w:val="24"/>
              </w:rPr>
            </w:pPr>
            <w:r>
              <w:rPr>
                <w:rFonts w:hint="eastAsia" w:ascii="仿宋" w:hAnsi="仿宋" w:eastAsia="仿宋" w:cs="仿宋"/>
                <w:color w:val="000000"/>
                <w:sz w:val="24"/>
              </w:rPr>
              <w:t>联系电话：029—88382333</w:t>
            </w:r>
          </w:p>
        </w:tc>
        <w:tc>
          <w:tcPr>
            <w:tcW w:w="4829" w:type="dxa"/>
            <w:tcBorders>
              <w:top w:val="nil"/>
              <w:left w:val="nil"/>
              <w:bottom w:val="nil"/>
              <w:right w:val="nil"/>
            </w:tcBorders>
            <w:vAlign w:val="center"/>
          </w:tcPr>
          <w:p w14:paraId="1DCAD24B">
            <w:pPr>
              <w:ind w:firstLine="360" w:firstLineChars="150"/>
              <w:rPr>
                <w:rFonts w:ascii="仿宋" w:hAnsi="仿宋" w:eastAsia="仿宋" w:cs="仿宋"/>
                <w:color w:val="000000"/>
                <w:sz w:val="24"/>
              </w:rPr>
            </w:pPr>
            <w:r>
              <w:rPr>
                <w:rFonts w:hint="eastAsia" w:ascii="仿宋" w:hAnsi="仿宋" w:eastAsia="仿宋" w:cs="仿宋"/>
                <w:color w:val="000000"/>
                <w:sz w:val="24"/>
              </w:rPr>
              <w:t>联系电话：</w:t>
            </w:r>
          </w:p>
        </w:tc>
      </w:tr>
      <w:tr w14:paraId="0B9E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5F28302B">
            <w:pPr>
              <w:ind w:firstLine="360" w:firstLineChars="150"/>
              <w:rPr>
                <w:rFonts w:ascii="仿宋" w:hAnsi="仿宋" w:eastAsia="仿宋" w:cs="仿宋"/>
                <w:color w:val="000000"/>
                <w:sz w:val="24"/>
              </w:rPr>
            </w:pPr>
            <w:r>
              <w:rPr>
                <w:rFonts w:hint="eastAsia" w:ascii="仿宋" w:hAnsi="仿宋" w:eastAsia="仿宋" w:cs="仿宋"/>
                <w:color w:val="000000"/>
                <w:sz w:val="24"/>
              </w:rPr>
              <w:t>202  年    月    日</w:t>
            </w:r>
          </w:p>
        </w:tc>
        <w:tc>
          <w:tcPr>
            <w:tcW w:w="4829" w:type="dxa"/>
            <w:tcBorders>
              <w:top w:val="nil"/>
              <w:left w:val="nil"/>
              <w:bottom w:val="nil"/>
              <w:right w:val="nil"/>
            </w:tcBorders>
            <w:vAlign w:val="center"/>
          </w:tcPr>
          <w:p w14:paraId="111006E4">
            <w:pPr>
              <w:ind w:firstLine="360" w:firstLineChars="150"/>
              <w:rPr>
                <w:rFonts w:ascii="仿宋" w:hAnsi="仿宋" w:eastAsia="仿宋" w:cs="仿宋"/>
                <w:color w:val="000000"/>
                <w:sz w:val="24"/>
              </w:rPr>
            </w:pPr>
            <w:r>
              <w:rPr>
                <w:rFonts w:hint="eastAsia" w:ascii="仿宋" w:hAnsi="仿宋" w:eastAsia="仿宋" w:cs="仿宋"/>
                <w:color w:val="000000"/>
                <w:sz w:val="24"/>
              </w:rPr>
              <w:t>202  年   月    日</w:t>
            </w:r>
          </w:p>
        </w:tc>
      </w:tr>
    </w:tbl>
    <w:p w14:paraId="4F052541">
      <w:pPr>
        <w:ind w:firstLine="360" w:firstLineChars="150"/>
        <w:rPr>
          <w:color w:val="000000"/>
          <w:sz w:val="24"/>
        </w:rPr>
      </w:pPr>
    </w:p>
    <w:p w14:paraId="53D82BC2"/>
    <w:p w14:paraId="4ABE8A13"/>
    <w:p w14:paraId="3C832CCA">
      <w:pPr>
        <w:pStyle w:val="5"/>
        <w:rPr>
          <w:rFonts w:hint="default" w:ascii="仿宋" w:hAnsi="仿宋" w:eastAsia="仿宋" w:cs="仿宋"/>
        </w:rPr>
      </w:pPr>
    </w:p>
    <w:p w14:paraId="3F43CAD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XcGJSymbol"/>
    <w:panose1 w:val="00000000000000000000"/>
    <w:charset w:val="00"/>
    <w:family w:val="auto"/>
    <w:pitch w:val="default"/>
    <w:sig w:usb0="00000000" w:usb1="00000000" w:usb2="00000000" w:usb3="00000000" w:csb0="00000000" w:csb1="00000000"/>
  </w:font>
  <w:font w:name="XcGJSymbol">
    <w:panose1 w:val="020005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7B9B2">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5F535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F5F535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8A7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2025-09-29T13:09:44Z</dcterms:created>
  <dc:creator>Administrator</dc:creator>
  <cp:lastModifiedBy>夏日微凉</cp:lastModifiedBy>
  <dcterms:modified xsi:type="dcterms:W3CDTF">2025-09-29T13:10:10Z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C2DF062D5C0948BF87FAA24353FFB36A_12</vt:lpwstr>
  </property>
</Properties>
</file>