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版本号：ZSHZB-ZC2025-17820251024001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2025年度宪法宣传周主题宣传活动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ZSHZB-ZC2025-178</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中陕核工业集团监理咨询有限公司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中陕核工业集团监理咨询有限公司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2025年度宪法宣传周主题宣传活动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ZSHZB-ZC2025-178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2025年度宪法宣传周主题宣传活动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于12月4日左右开展“宪法宣传周”宪法宣传活动，旨在弘扬宪法精神，维护宪法权威。通过线上宣传、视频宣传与线下宣传多维联动，广泛传播宪法核心内容与法治理念。线上平台推送宪法知识、展播主题宣传片；视频宣传聚焦宪法精神、核心法规解读及典型案例剖析；线下开展普法活动，深入基层宣传《宪法》及应急管理相关法律法规。增强全民法治意识，营造尊法、学法、守法、用法的浓厚社会氛围，推动法治建设走深走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采购包1（2025年度宪法宣传周主题宣传活动）：属于专门面向中小企业采购。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要求：截止至响应文件递交截止时间之前，供应商未被列入信用中国网站(www.creditchina.gov.cn)“失信被执行人、重大税收违法失信主体”；未被列入中国政府采购网(www.ccgp.gov.cn)“政府采购严重违法失信行为记录名单”中的禁止参加政府采购活动期间</w:t>
      </w:r>
    </w:p>
    <w:p>
      <w:pPr>
        <w:pStyle w:val="null3"/>
      </w:pPr>
      <w:r>
        <w:rPr>
          <w:rFonts w:ascii="仿宋_GB2312" w:hAnsi="仿宋_GB2312" w:cs="仿宋_GB2312" w:eastAsia="仿宋_GB2312"/>
        </w:rPr>
        <w:t>2、授权代表：供应商应授权合法的人员参加本项目磋商活动全过程，其中法定代表人直接参加磋商活动的，应出具法定代表人证明书及法定代表人合法有效的身份证复印件，且应与营业执照上信息一致；法定代表人授权代表参加开标活动的，应出具法定代表人证明书、法定代表人授权书及授权代表合法有效的身份证复印件</w:t>
      </w:r>
    </w:p>
    <w:p>
      <w:pPr>
        <w:pStyle w:val="null3"/>
      </w:pPr>
      <w:r>
        <w:rPr>
          <w:rFonts w:ascii="仿宋_GB2312" w:hAnsi="仿宋_GB2312" w:cs="仿宋_GB2312" w:eastAsia="仿宋_GB2312"/>
        </w:rPr>
        <w:t>3、承诺函：单位负责人为同一人或者存在直接控股、管理关系的不同供应商不得参加同一合同项下的政府采购活动。为本项目提供整体设计、规范编制或者项目管理、监理、检测等服务的供应商，不得再参加该采购项目的其他采购活动（提供书面承诺函，加盖供应商公章）</w:t>
      </w:r>
    </w:p>
    <w:p>
      <w:pPr>
        <w:pStyle w:val="null3"/>
      </w:pPr>
      <w:r>
        <w:rPr>
          <w:rFonts w:ascii="仿宋_GB2312" w:hAnsi="仿宋_GB2312" w:cs="仿宋_GB2312" w:eastAsia="仿宋_GB2312"/>
        </w:rPr>
        <w:t>4、非联合体不分包声明：本项目不接受联合体投标，不允许分包。供应商应提供《非联合体不分包投标声明》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61166206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中陕核工业集团监理咨询有限公司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西安市灞桥区长乐东路中陕核资源大厦17层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029-86115258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代理服务费收费标准：参照国家计委颁布的《招标代理服务收费管理暂行办法》（计价格[2002]1980号）及发改办价格[2003]857号文件的规定标准*90%收取，本项目代理服务费按服务计取。 招标代理服务费交纳信息： 银行户名：中陕核工业集团监理咨询有限公司 开户银行：招商银行西安分行西影路支行 账号：129907948010901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中陕核工业集团监理咨询有限公司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中陕核工业集团监理咨询有限公司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中陕核工业集团监理咨询有限公司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中陕核工业集团监理咨询有限公司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联系人：李灿</w:t>
      </w:r>
    </w:p>
    <w:p>
      <w:pPr>
        <w:pStyle w:val="null3"/>
      </w:pPr>
      <w:r>
        <w:rPr>
          <w:rFonts w:ascii="仿宋_GB2312" w:hAnsi="仿宋_GB2312" w:cs="仿宋_GB2312" w:eastAsia="仿宋_GB2312"/>
        </w:rPr>
        <w:t>联系电话：029-86115258</w:t>
      </w:r>
    </w:p>
    <w:p>
      <w:pPr>
        <w:pStyle w:val="null3"/>
      </w:pPr>
      <w:r>
        <w:rPr>
          <w:rFonts w:ascii="仿宋_GB2312" w:hAnsi="仿宋_GB2312" w:cs="仿宋_GB2312" w:eastAsia="仿宋_GB2312"/>
        </w:rPr>
        <w:t>地址：西安市灞桥区长乐东路中陕核资源大厦17层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于12月4日左右开展“宪法宣传周”宪法宣传活动，旨在弘扬宪法精神，维护宪法权威。通过线上宣传、视频宣传与线下宣传多维联动，广泛传播宪法核心内容与法治理念。线上平台推送宪法知识、展播主题宣传片；视频宣传聚焦宪法精神、核心法规解读及典型案例剖析；线下开展普法活动，深入基层宣传《宪法》及应急管理相关法律法规。增强全民法治意识，营造尊法、学法、守法、用法的浓厚社会氛围，推动法治建设走深走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2025年度宪法宣传活动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标的名称：2025年度宪法宣传活动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FF"/>
              </w:rPr>
              <w:t>一、</w:t>
            </w:r>
            <w:r>
              <w:rPr>
                <w:rFonts w:ascii="仿宋_GB2312" w:hAnsi="仿宋_GB2312" w:cs="仿宋_GB2312" w:eastAsia="仿宋_GB2312"/>
                <w:sz w:val="20"/>
                <w:b/>
                <w:color w:val="0000FF"/>
              </w:rPr>
              <w:t>建设目的：</w:t>
            </w:r>
          </w:p>
          <w:p>
            <w:pPr>
              <w:pStyle w:val="null3"/>
              <w:ind w:firstLine="400"/>
              <w:jc w:val="left"/>
            </w:pPr>
            <w:r>
              <w:rPr>
                <w:rFonts w:ascii="仿宋_GB2312" w:hAnsi="仿宋_GB2312" w:cs="仿宋_GB2312" w:eastAsia="仿宋_GB2312"/>
                <w:sz w:val="20"/>
                <w:color w:val="0000FF"/>
              </w:rPr>
              <w:t>拟于</w:t>
            </w:r>
            <w:r>
              <w:rPr>
                <w:rFonts w:ascii="仿宋_GB2312" w:hAnsi="仿宋_GB2312" w:cs="仿宋_GB2312" w:eastAsia="仿宋_GB2312"/>
                <w:sz w:val="20"/>
                <w:color w:val="0000FF"/>
              </w:rPr>
              <w:t>12月4日左右开展“宪法宣传周”宪法宣传活动，旨在弘扬宪法精神，维护宪法权威。通过线上宣传、视频宣传与线下宣传多维联动，广泛传播宪法核心内容与法治理念。线上平台推送宪法知识、展播主题宣传片；视频宣传聚焦宪法精神、核心法规解读及典型案例剖析；线下开展普法活动，深入基层宣传《宪法》及应急管理相关法律法规。增强全民法治意识，营造尊法、学法、守法、用法的浓厚社会氛围，推动法治建设走深走实。</w:t>
            </w:r>
          </w:p>
          <w:p>
            <w:pPr>
              <w:pStyle w:val="null3"/>
              <w:jc w:val="left"/>
            </w:pPr>
            <w:r>
              <w:rPr>
                <w:rFonts w:ascii="仿宋_GB2312" w:hAnsi="仿宋_GB2312" w:cs="仿宋_GB2312" w:eastAsia="仿宋_GB2312"/>
                <w:sz w:val="20"/>
                <w:b/>
                <w:color w:val="0000FF"/>
              </w:rPr>
              <w:t>二、</w:t>
            </w:r>
            <w:r>
              <w:rPr>
                <w:rFonts w:ascii="仿宋_GB2312" w:hAnsi="仿宋_GB2312" w:cs="仿宋_GB2312" w:eastAsia="仿宋_GB2312"/>
                <w:sz w:val="20"/>
                <w:b/>
                <w:color w:val="0000FF"/>
              </w:rPr>
              <w:t>项目内容</w:t>
            </w:r>
          </w:p>
          <w:tbl>
            <w:tblPr>
              <w:tblInd w:type="dxa" w:w="120"/>
              <w:tblBorders>
                <w:top w:val="none" w:color="000000" w:sz="4"/>
                <w:left w:val="none" w:color="000000" w:sz="4"/>
                <w:bottom w:val="none" w:color="000000" w:sz="4"/>
                <w:right w:val="none" w:color="000000" w:sz="4"/>
                <w:insideH w:val="none"/>
                <w:insideV w:val="none"/>
              </w:tblBorders>
            </w:tblPr>
            <w:tblGrid>
              <w:gridCol w:w="129"/>
              <w:gridCol w:w="173"/>
              <w:gridCol w:w="734"/>
              <w:gridCol w:w="388"/>
              <w:gridCol w:w="857"/>
              <w:gridCol w:w="271"/>
            </w:tblGrid>
            <w:tr>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序号</w:t>
                  </w:r>
                </w:p>
              </w:tc>
              <w:tc>
                <w:tcPr>
                  <w:tcW w:type="dxa" w:w="90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名称</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数量</w:t>
                  </w:r>
                </w:p>
              </w:tc>
              <w:tc>
                <w:tcPr>
                  <w:tcW w:type="dxa" w:w="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服务内容或技术参数</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备注</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w:t>
                  </w:r>
                </w:p>
              </w:tc>
              <w:tc>
                <w:tcPr>
                  <w:tcW w:type="dxa" w:w="1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线下宣传</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调查及现场踏勘</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1场</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前期活动调查及活动现场踏勘规划</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活动方案编制及设计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进行现场活动的计划安排、方案策划</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活动方案</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根据</w:t>
                  </w:r>
                  <w:r>
                    <w:rPr>
                      <w:rFonts w:ascii="仿宋_GB2312" w:hAnsi="仿宋_GB2312" w:cs="仿宋_GB2312" w:eastAsia="仿宋_GB2312"/>
                      <w:sz w:val="20"/>
                      <w:color w:val="0000FF"/>
                    </w:rPr>
                    <w:t>2025年“12·4”国家宪法日主题宣传活动设计策划活动方案</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4</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活动设计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根据</w:t>
                  </w:r>
                  <w:r>
                    <w:rPr>
                      <w:rFonts w:ascii="仿宋_GB2312" w:hAnsi="仿宋_GB2312" w:cs="仿宋_GB2312" w:eastAsia="仿宋_GB2312"/>
                      <w:sz w:val="20"/>
                      <w:color w:val="0000FF"/>
                    </w:rPr>
                    <w:t>2025年“12·4”国家宪法日主题宣传活动计划的设计</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活动资料打印</w:t>
                  </w:r>
                </w:p>
                <w:p>
                  <w:pPr>
                    <w:pStyle w:val="null3"/>
                    <w:jc w:val="center"/>
                  </w:pPr>
                  <w:r>
                    <w:rPr>
                      <w:rFonts w:ascii="仿宋_GB2312" w:hAnsi="仿宋_GB2312" w:cs="仿宋_GB2312" w:eastAsia="仿宋_GB2312"/>
                      <w:sz w:val="20"/>
                      <w:color w:val="0000FF"/>
                    </w:rPr>
                    <w:t>彩印、黑白</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活动计划、活动方案资料打印</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6</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主席台搭建</w:t>
                  </w:r>
                </w:p>
                <w:p>
                  <w:pPr>
                    <w:pStyle w:val="null3"/>
                    <w:jc w:val="center"/>
                  </w:pPr>
                  <w:r>
                    <w:rPr>
                      <w:rFonts w:ascii="仿宋_GB2312" w:hAnsi="仿宋_GB2312" w:cs="仿宋_GB2312" w:eastAsia="仿宋_GB2312"/>
                      <w:sz w:val="20"/>
                      <w:color w:val="0000FF"/>
                    </w:rPr>
                    <w:t>（含地毯、折叠桌、靠背椅）</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1场</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4m*8m</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7</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活动主背景搭建与布置、主背景设计与喷绘</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1场</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4m*8m</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含背景设计及制作</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8</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主背景桁架和</w:t>
                  </w:r>
                  <w:r>
                    <w:rPr>
                      <w:rFonts w:ascii="仿宋_GB2312" w:hAnsi="仿宋_GB2312" w:cs="仿宋_GB2312" w:eastAsia="仿宋_GB2312"/>
                      <w:sz w:val="20"/>
                      <w:color w:val="0000FF"/>
                    </w:rPr>
                    <w:t>2吨雷亚架</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1场</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4m*8m</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9</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音响功放设备麦克风</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1套</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租赁配备综合控制台，配备线阵音响套装户外大型演出双</w:t>
                  </w:r>
                  <w:r>
                    <w:rPr>
                      <w:rFonts w:ascii="仿宋_GB2312" w:hAnsi="仿宋_GB2312" w:cs="仿宋_GB2312" w:eastAsia="仿宋_GB2312"/>
                      <w:sz w:val="20"/>
                      <w:color w:val="0000FF"/>
                    </w:rPr>
                    <w:t>10英寸低音音响套装</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10</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摄像师</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1人</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租赁配备</w:t>
                  </w:r>
                  <w:r>
                    <w:rPr>
                      <w:rFonts w:ascii="仿宋_GB2312" w:hAnsi="仿宋_GB2312" w:cs="仿宋_GB2312" w:eastAsia="仿宋_GB2312"/>
                      <w:sz w:val="20"/>
                      <w:color w:val="0000FF"/>
                    </w:rPr>
                    <w:t>1/3英寸3CMOS25倍光变会议活动直播专业4K手持摄录一体机/专业原装电池与超高速大内存SD卡</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11</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摄影师</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1人</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租赁配备全画幅高清</w:t>
                  </w:r>
                  <w:r>
                    <w:rPr>
                      <w:rFonts w:ascii="仿宋_GB2312" w:hAnsi="仿宋_GB2312" w:cs="仿宋_GB2312" w:eastAsia="仿宋_GB2312"/>
                      <w:sz w:val="20"/>
                      <w:color w:val="0000FF"/>
                    </w:rPr>
                    <w:t>4k相机搭配镜头、闪光灯等专业配件/专业原装电池与超高速大内存SD卡</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12</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无人机操作</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1人</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租赁配备专业无人机设备</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13</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场地布置</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5人</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报价包含工人安装、拆卸、质量维保等服务</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14</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现场主持人</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1人</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专业主持人</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15</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宣传展板设计</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24块</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100cm*120cm</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宪法宣传相关展板</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16</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制作宣传展板</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24块</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100cm*120cm</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17</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设计、桁架制作、指示牌制作</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3套</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2m*3m</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含设计及制作</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18</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宣传折页</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5000份</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尺寸：</w:t>
                  </w:r>
                  <w:r>
                    <w:rPr>
                      <w:rFonts w:ascii="仿宋_GB2312" w:hAnsi="仿宋_GB2312" w:cs="仿宋_GB2312" w:eastAsia="仿宋_GB2312"/>
                      <w:sz w:val="20"/>
                      <w:color w:val="0000FF"/>
                    </w:rPr>
                    <w:t>3折页</w:t>
                  </w:r>
                </w:p>
                <w:p>
                  <w:pPr>
                    <w:pStyle w:val="null3"/>
                    <w:jc w:val="left"/>
                  </w:pPr>
                  <w:r>
                    <w:rPr>
                      <w:rFonts w:ascii="仿宋_GB2312" w:hAnsi="仿宋_GB2312" w:cs="仿宋_GB2312" w:eastAsia="仿宋_GB2312"/>
                      <w:sz w:val="20"/>
                      <w:color w:val="0000FF"/>
                    </w:rPr>
                    <w:t>类型：</w:t>
                  </w:r>
                  <w:r>
                    <w:rPr>
                      <w:rFonts w:ascii="仿宋_GB2312" w:hAnsi="仿宋_GB2312" w:cs="仿宋_GB2312" w:eastAsia="仿宋_GB2312"/>
                      <w:sz w:val="20"/>
                      <w:color w:val="0000FF"/>
                    </w:rPr>
                    <w:t>≥3种款式</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宣传折页</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19</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宣传彩页</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20000份</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类型：正反面</w:t>
                  </w:r>
                </w:p>
                <w:p>
                  <w:pPr>
                    <w:pStyle w:val="null3"/>
                    <w:jc w:val="left"/>
                  </w:pPr>
                  <w:r>
                    <w:rPr>
                      <w:rFonts w:ascii="仿宋_GB2312" w:hAnsi="仿宋_GB2312" w:cs="仿宋_GB2312" w:eastAsia="仿宋_GB2312"/>
                      <w:sz w:val="20"/>
                      <w:color w:val="0000FF"/>
                    </w:rPr>
                    <w:t>类型：</w:t>
                  </w:r>
                  <w:r>
                    <w:rPr>
                      <w:rFonts w:ascii="仿宋_GB2312" w:hAnsi="仿宋_GB2312" w:cs="仿宋_GB2312" w:eastAsia="仿宋_GB2312"/>
                      <w:sz w:val="20"/>
                      <w:color w:val="0000FF"/>
                    </w:rPr>
                    <w:t>≥4种款式</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宣传彩页</w:t>
                  </w: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20</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雨伞</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100把</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折叠款不印字</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21</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竹节杯</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200个</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容量：</w:t>
                  </w:r>
                  <w:r>
                    <w:rPr>
                      <w:rFonts w:ascii="仿宋_GB2312" w:hAnsi="仿宋_GB2312" w:cs="仿宋_GB2312" w:eastAsia="仿宋_GB2312"/>
                      <w:sz w:val="20"/>
                      <w:color w:val="0000FF"/>
                    </w:rPr>
                    <w:t>400ml</w:t>
                  </w:r>
                </w:p>
                <w:p>
                  <w:pPr>
                    <w:pStyle w:val="null3"/>
                    <w:jc w:val="left"/>
                  </w:pPr>
                  <w:r>
                    <w:rPr>
                      <w:rFonts w:ascii="仿宋_GB2312" w:hAnsi="仿宋_GB2312" w:cs="仿宋_GB2312" w:eastAsia="仿宋_GB2312"/>
                      <w:sz w:val="20"/>
                      <w:color w:val="0000FF"/>
                    </w:rPr>
                    <w:t>材质：玻璃</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22</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小方巾</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600件</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尺寸：</w:t>
                  </w:r>
                  <w:r>
                    <w:rPr>
                      <w:rFonts w:ascii="仿宋_GB2312" w:hAnsi="仿宋_GB2312" w:cs="仿宋_GB2312" w:eastAsia="仿宋_GB2312"/>
                      <w:sz w:val="20"/>
                      <w:color w:val="0000FF"/>
                    </w:rPr>
                    <w:t>30*30cm</w:t>
                  </w:r>
                </w:p>
                <w:p>
                  <w:pPr>
                    <w:pStyle w:val="null3"/>
                    <w:jc w:val="left"/>
                  </w:pPr>
                  <w:r>
                    <w:rPr>
                      <w:rFonts w:ascii="仿宋_GB2312" w:hAnsi="仿宋_GB2312" w:cs="仿宋_GB2312" w:eastAsia="仿宋_GB2312"/>
                      <w:sz w:val="20"/>
                      <w:color w:val="0000FF"/>
                    </w:rPr>
                    <w:t>材质：超细纤维涤锦纱</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23</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无纺布袋</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1000个</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尺寸：</w:t>
                  </w:r>
                  <w:r>
                    <w:rPr>
                      <w:rFonts w:ascii="仿宋_GB2312" w:hAnsi="仿宋_GB2312" w:cs="仿宋_GB2312" w:eastAsia="仿宋_GB2312"/>
                      <w:sz w:val="20"/>
                      <w:color w:val="0000FF"/>
                    </w:rPr>
                    <w:t>30*10*38cm</w:t>
                  </w:r>
                </w:p>
                <w:p>
                  <w:pPr>
                    <w:pStyle w:val="null3"/>
                    <w:jc w:val="left"/>
                  </w:pPr>
                  <w:r>
                    <w:rPr>
                      <w:rFonts w:ascii="仿宋_GB2312" w:hAnsi="仿宋_GB2312" w:cs="仿宋_GB2312" w:eastAsia="仿宋_GB2312"/>
                      <w:sz w:val="20"/>
                      <w:color w:val="0000FF"/>
                    </w:rPr>
                    <w:t>单面、单色印字</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24</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指甲刀套装</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200个</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尺寸：</w:t>
                  </w:r>
                  <w:r>
                    <w:rPr>
                      <w:rFonts w:ascii="仿宋_GB2312" w:hAnsi="仿宋_GB2312" w:cs="仿宋_GB2312" w:eastAsia="仿宋_GB2312"/>
                      <w:sz w:val="20"/>
                      <w:color w:val="0000FF"/>
                    </w:rPr>
                    <w:t>104*65*21.5cm</w:t>
                  </w:r>
                </w:p>
                <w:p>
                  <w:pPr>
                    <w:pStyle w:val="null3"/>
                    <w:jc w:val="left"/>
                  </w:pPr>
                  <w:r>
                    <w:rPr>
                      <w:rFonts w:ascii="仿宋_GB2312" w:hAnsi="仿宋_GB2312" w:cs="仿宋_GB2312" w:eastAsia="仿宋_GB2312"/>
                      <w:sz w:val="20"/>
                      <w:color w:val="0000FF"/>
                    </w:rPr>
                    <w:t>材质：不锈钢</w:t>
                  </w:r>
                  <w:r>
                    <w:rPr>
                      <w:rFonts w:ascii="仿宋_GB2312" w:hAnsi="仿宋_GB2312" w:cs="仿宋_GB2312" w:eastAsia="仿宋_GB2312"/>
                      <w:sz w:val="20"/>
                      <w:color w:val="0000FF"/>
                    </w:rPr>
                    <w:t>+碳钢+塑胶</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25</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手机支架</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200个</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尺寸：</w:t>
                  </w:r>
                  <w:r>
                    <w:rPr>
                      <w:rFonts w:ascii="仿宋_GB2312" w:hAnsi="仿宋_GB2312" w:cs="仿宋_GB2312" w:eastAsia="仿宋_GB2312"/>
                      <w:sz w:val="20"/>
                      <w:color w:val="0000FF"/>
                    </w:rPr>
                    <w:t>14*7.9*3cm</w:t>
                  </w:r>
                </w:p>
                <w:p>
                  <w:pPr>
                    <w:pStyle w:val="null3"/>
                    <w:jc w:val="left"/>
                  </w:pPr>
                  <w:r>
                    <w:rPr>
                      <w:rFonts w:ascii="仿宋_GB2312" w:hAnsi="仿宋_GB2312" w:cs="仿宋_GB2312" w:eastAsia="仿宋_GB2312"/>
                      <w:sz w:val="20"/>
                      <w:color w:val="0000FF"/>
                    </w:rPr>
                    <w:t>材质：</w:t>
                  </w:r>
                  <w:r>
                    <w:rPr>
                      <w:rFonts w:ascii="仿宋_GB2312" w:hAnsi="仿宋_GB2312" w:cs="仿宋_GB2312" w:eastAsia="仿宋_GB2312"/>
                      <w:sz w:val="20"/>
                      <w:color w:val="0000FF"/>
                    </w:rPr>
                    <w:t>ABS+硅胶</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26</w:t>
                  </w:r>
                </w:p>
              </w:tc>
              <w:tc>
                <w:tcPr>
                  <w:tcW w:type="dxa" w:w="173"/>
                  <w:vMerge/>
                  <w:tcBorders>
                    <w:top w:val="none" w:color="000000" w:sz="4"/>
                    <w:left w:val="single" w:color="000000" w:sz="4"/>
                    <w:bottom w:val="single" w:color="000000" w:sz="4"/>
                    <w:right w:val="single" w:color="000000" w:sz="4"/>
                  </w:tcBorders>
                </w:tcP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压缩洗碗棉</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500个</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尺寸：</w:t>
                  </w:r>
                  <w:r>
                    <w:rPr>
                      <w:rFonts w:ascii="仿宋_GB2312" w:hAnsi="仿宋_GB2312" w:cs="仿宋_GB2312" w:eastAsia="仿宋_GB2312"/>
                      <w:sz w:val="20"/>
                      <w:color w:val="0000FF"/>
                    </w:rPr>
                    <w:t>8.5*8.5*0.18cm</w:t>
                  </w:r>
                </w:p>
                <w:p>
                  <w:pPr>
                    <w:pStyle w:val="null3"/>
                    <w:jc w:val="left"/>
                  </w:pPr>
                  <w:r>
                    <w:rPr>
                      <w:rFonts w:ascii="仿宋_GB2312" w:hAnsi="仿宋_GB2312" w:cs="仿宋_GB2312" w:eastAsia="仿宋_GB2312"/>
                      <w:sz w:val="20"/>
                      <w:color w:val="0000FF"/>
                    </w:rPr>
                    <w:t>材质：木浆棉</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27</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普法宣传片</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1.主体内容：</w:t>
                  </w:r>
                </w:p>
                <w:p>
                  <w:pPr>
                    <w:pStyle w:val="null3"/>
                    <w:jc w:val="left"/>
                  </w:pPr>
                  <w:r>
                    <w:rPr>
                      <w:rFonts w:ascii="仿宋_GB2312" w:hAnsi="仿宋_GB2312" w:cs="仿宋_GB2312" w:eastAsia="仿宋_GB2312"/>
                      <w:sz w:val="20"/>
                      <w:color w:val="0000FF"/>
                    </w:rPr>
                    <w:t>拟于</w:t>
                  </w:r>
                  <w:r>
                    <w:rPr>
                      <w:rFonts w:ascii="仿宋_GB2312" w:hAnsi="仿宋_GB2312" w:cs="仿宋_GB2312" w:eastAsia="仿宋_GB2312"/>
                      <w:sz w:val="20"/>
                      <w:color w:val="0000FF"/>
                    </w:rPr>
                    <w:t>12月4日左右开展“宪法宣传周”宪法宣传活动</w:t>
                  </w:r>
                  <w:r>
                    <w:rPr>
                      <w:rFonts w:ascii="仿宋_GB2312" w:hAnsi="仿宋_GB2312" w:cs="仿宋_GB2312" w:eastAsia="仿宋_GB2312"/>
                      <w:sz w:val="20"/>
                      <w:color w:val="0000FF"/>
                    </w:rPr>
                    <w:t>。宣传片主要体现宪法精神、核心法规解读、案例展示和应急科普等内容，展示宪法宣传周主题标语；重点宣传《宪法》及应急管理相关法律法规。</w:t>
                  </w:r>
                </w:p>
                <w:p>
                  <w:pPr>
                    <w:pStyle w:val="null3"/>
                    <w:jc w:val="left"/>
                  </w:pPr>
                  <w:r>
                    <w:rPr>
                      <w:rFonts w:ascii="仿宋_GB2312" w:hAnsi="仿宋_GB2312" w:cs="仿宋_GB2312" w:eastAsia="仿宋_GB2312"/>
                      <w:sz w:val="20"/>
                      <w:color w:val="0000FF"/>
                    </w:rPr>
                    <w:t>2.创意制作：</w:t>
                  </w:r>
                </w:p>
                <w:p>
                  <w:pPr>
                    <w:pStyle w:val="null3"/>
                    <w:jc w:val="left"/>
                  </w:pPr>
                  <w:r>
                    <w:rPr>
                      <w:rFonts w:ascii="仿宋_GB2312" w:hAnsi="仿宋_GB2312" w:cs="仿宋_GB2312" w:eastAsia="仿宋_GB2312"/>
                      <w:sz w:val="20"/>
                      <w:color w:val="0000FF"/>
                    </w:rPr>
                    <w:t>提供宣传片脚本，确保内容科学准确、通俗易懂；画面精美，声情并茂，内容具有感染力，视觉冲击力强。</w:t>
                  </w:r>
                </w:p>
                <w:p>
                  <w:pPr>
                    <w:pStyle w:val="null3"/>
                    <w:jc w:val="left"/>
                  </w:pPr>
                  <w:r>
                    <w:rPr>
                      <w:rFonts w:ascii="仿宋_GB2312" w:hAnsi="仿宋_GB2312" w:cs="仿宋_GB2312" w:eastAsia="仿宋_GB2312"/>
                      <w:sz w:val="20"/>
                      <w:color w:val="0000FF"/>
                    </w:rPr>
                    <w:t>3.宣传片要求：</w:t>
                  </w:r>
                </w:p>
                <w:p>
                  <w:pPr>
                    <w:pStyle w:val="null3"/>
                    <w:jc w:val="left"/>
                  </w:pPr>
                  <w:r>
                    <w:rPr>
                      <w:rFonts w:ascii="仿宋_GB2312" w:hAnsi="仿宋_GB2312" w:cs="仿宋_GB2312" w:eastAsia="仿宋_GB2312"/>
                      <w:sz w:val="20"/>
                      <w:color w:val="0000FF"/>
                    </w:rPr>
                    <w:t>1）.严格遵循国家宪法精神和应急管理相关法律法规，全面、准确地传达法治理念和法律规定，内容措辞准确无误，主题鲜明、逻辑严密、结构完整。</w:t>
                  </w:r>
                </w:p>
                <w:p>
                  <w:pPr>
                    <w:pStyle w:val="null3"/>
                    <w:jc w:val="left"/>
                  </w:pPr>
                  <w:r>
                    <w:rPr>
                      <w:rFonts w:ascii="仿宋_GB2312" w:hAnsi="仿宋_GB2312" w:cs="仿宋_GB2312" w:eastAsia="仿宋_GB2312"/>
                      <w:sz w:val="20"/>
                      <w:color w:val="0000FF"/>
                    </w:rPr>
                    <w:t>2）.须保证图像清晰、色彩自然、画面稳定。音频须与画面同步流畅，解说声应清晰、饱满，无杂音或失真现象;兼容主流媒体播放器及各类短视频平台;配中文简体字幕。</w:t>
                  </w:r>
                </w:p>
                <w:p>
                  <w:pPr>
                    <w:pStyle w:val="null3"/>
                    <w:jc w:val="left"/>
                  </w:pPr>
                  <w:r>
                    <w:rPr>
                      <w:rFonts w:ascii="仿宋_GB2312" w:hAnsi="仿宋_GB2312" w:cs="仿宋_GB2312" w:eastAsia="仿宋_GB2312"/>
                      <w:sz w:val="20"/>
                      <w:color w:val="0000FF"/>
                    </w:rPr>
                    <w:t>3）.确保内容无政治、法律及其他风险，不侵犯第三方知识产权。</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1.画面分辨率：不低于3840×2160（4k）像素。竖版视频不低于1080×1920像素。</w:t>
                  </w:r>
                </w:p>
                <w:p>
                  <w:pPr>
                    <w:pStyle w:val="null3"/>
                    <w:jc w:val="left"/>
                  </w:pPr>
                  <w:r>
                    <w:rPr>
                      <w:rFonts w:ascii="仿宋_GB2312" w:hAnsi="仿宋_GB2312" w:cs="仿宋_GB2312" w:eastAsia="仿宋_GB2312"/>
                      <w:sz w:val="20"/>
                      <w:color w:val="0000FF"/>
                    </w:rPr>
                    <w:t>2.画面比例：横屏16:9（通用），竖屏9:16（适配短视频平台）。</w:t>
                  </w:r>
                </w:p>
                <w:p>
                  <w:pPr>
                    <w:pStyle w:val="null3"/>
                    <w:jc w:val="left"/>
                  </w:pPr>
                  <w:r>
                    <w:rPr>
                      <w:rFonts w:ascii="仿宋_GB2312" w:hAnsi="仿宋_GB2312" w:cs="仿宋_GB2312" w:eastAsia="仿宋_GB2312"/>
                      <w:sz w:val="20"/>
                      <w:color w:val="0000FF"/>
                    </w:rPr>
                    <w:t>2.格式：成片为MP4格式，码率不低于50Mbps。</w:t>
                  </w:r>
                </w:p>
                <w:p>
                  <w:pPr>
                    <w:pStyle w:val="null3"/>
                    <w:jc w:val="left"/>
                  </w:pPr>
                  <w:r>
                    <w:rPr>
                      <w:rFonts w:ascii="仿宋_GB2312" w:hAnsi="仿宋_GB2312" w:cs="仿宋_GB2312" w:eastAsia="仿宋_GB2312"/>
                      <w:sz w:val="20"/>
                      <w:color w:val="0000FF"/>
                    </w:rPr>
                    <w:t>3.字幕要求：字体清晰易读，字号适中，与背景形成鲜明对比，能满足大部分室内、室外光线正常观看。</w:t>
                  </w:r>
                </w:p>
                <w:p>
                  <w:pPr>
                    <w:pStyle w:val="null3"/>
                    <w:jc w:val="left"/>
                  </w:pPr>
                  <w:r>
                    <w:rPr>
                      <w:rFonts w:ascii="仿宋_GB2312" w:hAnsi="仿宋_GB2312" w:cs="仿宋_GB2312" w:eastAsia="仿宋_GB2312"/>
                      <w:sz w:val="20"/>
                      <w:color w:val="0000FF"/>
                    </w:rPr>
                    <w:t>4.配音要求：采用标准普通话，声音清晰，无杂音。</w:t>
                  </w:r>
                </w:p>
                <w:p>
                  <w:pPr>
                    <w:pStyle w:val="null3"/>
                    <w:jc w:val="left"/>
                  </w:pPr>
                  <w:r>
                    <w:rPr>
                      <w:rFonts w:ascii="仿宋_GB2312" w:hAnsi="仿宋_GB2312" w:cs="仿宋_GB2312" w:eastAsia="仿宋_GB2312"/>
                      <w:sz w:val="20"/>
                      <w:color w:val="0000FF"/>
                    </w:rPr>
                    <w:t>5.音乐要求：使用正版授权音乐，符合宣传片主题，音量适中，不掩盖解说词。</w:t>
                  </w:r>
                </w:p>
                <w:p>
                  <w:pPr>
                    <w:pStyle w:val="null3"/>
                    <w:jc w:val="left"/>
                  </w:pPr>
                  <w:r>
                    <w:rPr>
                      <w:rFonts w:ascii="仿宋_GB2312" w:hAnsi="仿宋_GB2312" w:cs="仿宋_GB2312" w:eastAsia="仿宋_GB2312"/>
                      <w:sz w:val="20"/>
                      <w:color w:val="0000FF"/>
                    </w:rPr>
                    <w:t>6.制作流程：包含前期设计（风格、场景、分镜）、视频拍摄（实景拍摄、素材剪辑）、后期包装（特效、输出）。</w:t>
                  </w:r>
                </w:p>
                <w:p>
                  <w:pPr>
                    <w:pStyle w:val="null3"/>
                    <w:jc w:val="left"/>
                  </w:pPr>
                  <w:r>
                    <w:rPr>
                      <w:rFonts w:ascii="仿宋_GB2312" w:hAnsi="仿宋_GB2312" w:cs="仿宋_GB2312" w:eastAsia="仿宋_GB2312"/>
                      <w:sz w:val="20"/>
                      <w:color w:val="0000FF"/>
                    </w:rPr>
                    <w:t>7.视频输出时长：3-5分钟。</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28</w:t>
                  </w:r>
                </w:p>
              </w:tc>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线上知识答题</w:t>
                  </w:r>
                </w:p>
                <w:p>
                  <w:pPr>
                    <w:pStyle w:val="null3"/>
                    <w:jc w:val="center"/>
                  </w:pPr>
                  <w:r>
                    <w:rPr>
                      <w:rFonts w:ascii="仿宋_GB2312" w:hAnsi="仿宋_GB2312" w:cs="仿宋_GB2312" w:eastAsia="仿宋_GB2312"/>
                      <w:sz w:val="20"/>
                      <w:color w:val="0000FF"/>
                    </w:rPr>
                    <w:t>平台</w:t>
                  </w:r>
                </w:p>
              </w:tc>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1.设计背景</w:t>
                  </w:r>
                </w:p>
                <w:p>
                  <w:pPr>
                    <w:pStyle w:val="null3"/>
                    <w:jc w:val="left"/>
                  </w:pPr>
                  <w:r>
                    <w:rPr>
                      <w:rFonts w:ascii="仿宋_GB2312" w:hAnsi="仿宋_GB2312" w:cs="仿宋_GB2312" w:eastAsia="仿宋_GB2312"/>
                      <w:sz w:val="20"/>
                      <w:color w:val="0000FF"/>
                    </w:rPr>
                    <w:t>为积极响应</w:t>
                  </w:r>
                  <w:r>
                    <w:rPr>
                      <w:rFonts w:ascii="仿宋_GB2312" w:hAnsi="仿宋_GB2312" w:cs="仿宋_GB2312" w:eastAsia="仿宋_GB2312"/>
                      <w:sz w:val="20"/>
                      <w:color w:val="0000FF"/>
                    </w:rPr>
                    <w:t>“宪法宣传周”活动部署，进一步弘扬宪法精神、维护宪法权威，推动法治理念在应急管理领域落地生根，拟设计开发一个线上知识答题平台，旨在提升社会公众对法律法规的理解掌握、法治意识培养和应急法律素养。</w:t>
                  </w:r>
                </w:p>
                <w:p>
                  <w:pPr>
                    <w:pStyle w:val="null3"/>
                    <w:jc w:val="left"/>
                  </w:pPr>
                  <w:r>
                    <w:rPr>
                      <w:rFonts w:ascii="仿宋_GB2312" w:hAnsi="仿宋_GB2312" w:cs="仿宋_GB2312" w:eastAsia="仿宋_GB2312"/>
                      <w:sz w:val="20"/>
                      <w:color w:val="0000FF"/>
                    </w:rPr>
                    <w:t>2.设计目的</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1）增强法治意识：通过分类学习法律法规，提升用户对应急管理相关法律法规的认知和理解。</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2）提升应急法律素养：通过答题模块，检验和巩固用户对应急管理法律知识的掌握程度。</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3）促进互动与参与：通过排名模块，激发用户的学习积极性和参与度。</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FF"/>
                    </w:rPr>
                    <w:t>1项</w:t>
                  </w:r>
                </w:p>
              </w:tc>
              <w:tc>
                <w:tcPr>
                  <w:tcW w:type="dxa" w:w="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FF"/>
                    </w:rPr>
                    <w:t>1.设计要求</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1）平台形式：平台需通过H5页面或网址链接实现，用户可通过二维码扫码进入，界面使用响应式布局，支持主流机型。</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2）用户体验：平台界面应简洁明了，操作便捷，确保用户体验流畅。</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3）数据安全：平台需确保用户信息及答题数据的安全性。</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4）系统稳定性：平台确保在活动期间系统稳定运行。</w:t>
                  </w:r>
                </w:p>
                <w:p>
                  <w:pPr>
                    <w:pStyle w:val="null3"/>
                    <w:jc w:val="left"/>
                  </w:pPr>
                  <w:r>
                    <w:rPr>
                      <w:rFonts w:ascii="仿宋_GB2312" w:hAnsi="仿宋_GB2312" w:cs="仿宋_GB2312" w:eastAsia="仿宋_GB2312"/>
                      <w:sz w:val="20"/>
                      <w:color w:val="0000FF"/>
                    </w:rPr>
                    <w:t>2.主要内容</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1）登录模块：用户通过扫码进入平台，实现快速身份验证。</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2）学习模块：分类摘取法律法规内容，提供前置学习功能。</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3）</w:t>
                  </w:r>
                  <w:r>
                    <w:rPr>
                      <w:rFonts w:ascii="仿宋_GB2312" w:hAnsi="仿宋_GB2312" w:cs="仿宋_GB2312" w:eastAsia="仿宋_GB2312"/>
                      <w:sz w:val="20"/>
                      <w:color w:val="0000FF"/>
                    </w:rPr>
                    <w:t>答题模块：通过依序答题，完成后得出答题分数和答题时间。</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4）统计模块：支撑统计相关信息和数据。</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5）排名模块：以答题分数、答题时间及提交时间降序排列统一构成排名规则，及时储存排名信息并与个人信息准确对应。</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6）后台模块：支持对上传内容审核，数据统计，确保内容合规，同时提供活动期间系统运维保障。</w:t>
                  </w:r>
                </w:p>
                <w:p>
                  <w:pPr>
                    <w:pStyle w:val="null3"/>
                    <w:jc w:val="left"/>
                  </w:pPr>
                  <w:r>
                    <w:rPr>
                      <w:rFonts w:ascii="仿宋_GB2312" w:hAnsi="仿宋_GB2312" w:cs="仿宋_GB2312" w:eastAsia="仿宋_GB2312"/>
                      <w:sz w:val="20"/>
                      <w:color w:val="0000FF"/>
                    </w:rPr>
                    <w:t>3.交付成果</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1）线上答题系统访问链接或二维码：提供用户便捷的访问方式。</w:t>
                  </w:r>
                </w:p>
                <w:p>
                  <w:pPr>
                    <w:pStyle w:val="null3"/>
                    <w:jc w:val="left"/>
                  </w:pPr>
                  <w:r>
                    <w:rPr>
                      <w:rFonts w:ascii="仿宋_GB2312" w:hAnsi="仿宋_GB2312" w:cs="仿宋_GB2312" w:eastAsia="仿宋_GB2312"/>
                      <w:sz w:val="20"/>
                      <w:color w:val="0000FF"/>
                    </w:rPr>
                    <w:t>（</w:t>
                  </w:r>
                  <w:r>
                    <w:rPr>
                      <w:rFonts w:ascii="仿宋_GB2312" w:hAnsi="仿宋_GB2312" w:cs="仿宋_GB2312" w:eastAsia="仿宋_GB2312"/>
                      <w:sz w:val="20"/>
                      <w:color w:val="0000FF"/>
                    </w:rPr>
                    <w:t>2）交付线上知识答题平台及相关技术文档。</w:t>
                  </w:r>
                </w:p>
                <w:p>
                  <w:pPr>
                    <w:pStyle w:val="null3"/>
                    <w:jc w:val="left"/>
                  </w:pPr>
                  <w:r>
                    <w:rPr>
                      <w:rFonts w:ascii="仿宋_GB2312" w:hAnsi="仿宋_GB2312" w:cs="仿宋_GB2312" w:eastAsia="仿宋_GB2312"/>
                      <w:sz w:val="20"/>
                      <w:color w:val="0000FF"/>
                    </w:rPr>
                    <w:t>4.活动礼品发放：本次活动设立一等奖、二等奖、三等奖，根据排名在全省选出若干群众（具体以甲方要求确定），以快递邮寄形式发放。</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自合同签订起至活动结束为止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采购人根据磋商文件、响应文件及相关文件资料，进行考核验收，确认服务标准和服务方式是否达到采购要求；（2）验收依据：1）依据采购文件、成交供应商响应文件、澄清表（函）、合同内容及附件文本；2）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项目合同约定，成交供应商未全面履行合同义务或者发生违约，采购人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（1）供应商具有独立承担民事责任能力的法人、其他组织或自然人，提供供应商的营业执照等证明文件，自然人的身份证明等复印件； （2）供应商提供2024年度经审计的财务报告，或响应文件提交截止时间前六个月内基本存款账户开户银行出具的资信证明及基本存款账户开户许可证（或基本存款账户信息相关证明文件）；或信用担保机构出具的投标担保函； （3）2024年10月以来任意一个月纳税证明或完税证明，纳税证明或完税证明上应有代收机构或税务机关的公章或业务专用章；依法免税或无须缴纳税收的供应商应提供相应文件证明； （4）2024年10月以来任意一个月的社会保障资金缴存单据或社保机构开具的社会保险参保缴费情况证明，单据或证明上应有社保机构或代收机构的公章或业务专用章；依法不需要缴纳社会保障资金的供应商应提供相应证明文件； （5）供应商提供具备履行合同所必需的设备和专业技术能力的承诺； （6）参加政府采购活动前3年内在经营活动中没有重大违法记录的书面声明。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供应商一般资格证明文件.pdf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供应商一般资格证明文件.pdf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供应商一般资格证明文件.pdf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列入信用中国网站(www.creditchina.gov.cn)“失信被执行人、重大税收违法失信主体”；未被列入中国政府采购网(www.ccgp.gov.cn)“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供应商特殊资格证明文件.pdf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复印件，且应与营业执照上信息一致；法定代表人授权代表参加开标活动的，应出具法定代表人证明书、法定代表人授权书及授权代表合法有效的身份证复印件</w:t>
            </w:r>
          </w:p>
        </w:tc>
        <w:tc>
          <w:tcPr>
            <w:tcW w:type="dxa" w:w="1661"/>
          </w:tcPr>
          <w:p>
            <w:pPr>
              <w:pStyle w:val="null3"/>
            </w:pPr>
            <w:r>
              <w:rPr>
                <w:rFonts w:ascii="仿宋_GB2312" w:hAnsi="仿宋_GB2312" w:cs="仿宋_GB2312" w:eastAsia="仿宋_GB2312"/>
              </w:rPr>
              <w:t>供应商特殊资格证明文件.pdf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提供书面承诺函，加盖供应商公章）</w:t>
            </w:r>
          </w:p>
        </w:tc>
        <w:tc>
          <w:tcPr>
            <w:tcW w:type="dxa" w:w="1661"/>
          </w:tcPr>
          <w:p>
            <w:pPr>
              <w:pStyle w:val="null3"/>
            </w:pPr>
            <w:r>
              <w:rPr>
                <w:rFonts w:ascii="仿宋_GB2312" w:hAnsi="仿宋_GB2312" w:cs="仿宋_GB2312" w:eastAsia="仿宋_GB2312"/>
              </w:rPr>
              <w:t>供应商特殊资格证明文件.pdf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供应商特殊资格证明文件.pdf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3、未超出磋商文件规定的采购预算或最高限价。</w:t>
            </w:r>
          </w:p>
        </w:tc>
        <w:tc>
          <w:tcPr>
            <w:tcW w:type="dxa" w:w="1661"/>
          </w:tcPr>
          <w:p>
            <w:pPr>
              <w:pStyle w:val="null3"/>
            </w:pPr>
            <w:r>
              <w:rPr>
                <w:rFonts w:ascii="仿宋_GB2312" w:hAnsi="仿宋_GB2312" w:cs="仿宋_GB2312" w:eastAsia="仿宋_GB2312"/>
              </w:rPr>
              <w:t>标的清单 响应分项报价表.docx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服务方案或技术方案.docx 业绩一览表.docx 服务内容及服务邀请应答表 中小企业声明函 商务应答表 报价表 响应分项报价表.docx 供应商一般资格证明文件.pdf 响应文件封面 法人证明书及授权委托书.docx 残疾人福利性单位声明函 供应商特殊资格证明文件.pdf 拒绝政府采购领域商业贿赂承诺书.docx 标的清单 响应函 供应商认为有必要说明的其他资料.pdf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法人证明书及授权委托书.docx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符合“第七章响应文件格式”的要求</w:t>
            </w:r>
          </w:p>
        </w:tc>
        <w:tc>
          <w:tcPr>
            <w:tcW w:type="dxa" w:w="1661"/>
          </w:tcPr>
          <w:p>
            <w:pPr>
              <w:pStyle w:val="null3"/>
            </w:pPr>
            <w:r>
              <w:rPr>
                <w:rFonts w:ascii="仿宋_GB2312" w:hAnsi="仿宋_GB2312" w:cs="仿宋_GB2312" w:eastAsia="仿宋_GB2312"/>
              </w:rPr>
              <w:t>服务方案或技术方案.docx 业绩一览表.docx 服务内容及服务邀请应答表 中小企业声明函 商务应答表 响应分项报价表.docx 报价表 供应商一般资格证明文件.pdf 响应文件封面 法人证明书及授权委托书.docx 残疾人福利性单位声明函 供应商特殊资格证明文件.pdf 拒绝政府采购领域商业贿赂承诺书.docx 标的清单 响应函 供应商认为有必要说明的其他资料.pdf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符合磋商文件对服务期限的要求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服务方案或技术方案.docx 业绩一览表.docx 服务内容及服务邀请应答表 中小企业声明函 商务应答表 响应分项报价表.docx 报价表 供应商一般资格证明文件.pdf 响应文件封面 法人证明书及授权委托书.docx 残疾人福利性单位声明函 供应商特殊资格证明文件.pdf 拒绝政府采购领域商业贿赂承诺书.docx 标的清单 响应函 供应商认为有必要说明的其他资料.pdf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供应商提供自2022年01月01日至本项目响应文件递交截止时间前的类似项目业绩证明材料，每提供1项得2分，最多得6分。 未提供的或所提供资料不符合要求的不得分。 评审依据：提供合同的复印件或复印件加盖公章，时间以合同签订时间为准。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供应商对本项目背景、服务内容、目标需求理解全面，分析到位，具体方案及项目整体实施方案。 1.方案及主要实施措施完善，合理，具有针对性、科学可行，符合本项目的要求得12分； 2.方案较完善合理，可行性较强的得8分； 3.方案详细性、合理性、可操作性一般的得4分； 4.未提供的不得分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服务方案或技术方案.docx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供应商需提供整体详细、合理、可行的设计服务方案，包括但不限于(突出专项展览主题内容，贴合本项目采购需求，具备宣传效果等）。方案合理且完整，根据其响应程度进行综合评审。 1、整体服务方案详细、完整、可行性强得10分； 2、整体服务方案详细、完整、可行性一般得7分； 3、整体服务方案详细、完整、可行性差得4分；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服务方案或技术方案.docx</w:t>
            </w:r>
          </w:p>
        </w:tc>
      </w:tr>
      <w:tr>
        <w:tc>
          <w:tcPr>
            <w:tcW w:type="dxa" w:w="831"/>
            <w:vMerge/>
          </w:tcPr>
          <w:p/>
        </w:tc>
        <w:tc>
          <w:tcPr>
            <w:tcW w:type="dxa" w:w="1661"/>
          </w:tcPr>
          <w:p>
            <w:pPr>
              <w:pStyle w:val="null3"/>
            </w:pPr>
            <w:r>
              <w:rPr>
                <w:rFonts w:ascii="仿宋_GB2312" w:hAnsi="仿宋_GB2312" w:cs="仿宋_GB2312" w:eastAsia="仿宋_GB2312"/>
              </w:rPr>
              <w:t>专业服务团队</w:t>
            </w:r>
          </w:p>
        </w:tc>
        <w:tc>
          <w:tcPr>
            <w:tcW w:type="dxa" w:w="2492"/>
          </w:tcPr>
          <w:p>
            <w:pPr>
              <w:pStyle w:val="null3"/>
            </w:pPr>
            <w:r>
              <w:rPr>
                <w:rFonts w:ascii="仿宋_GB2312" w:hAnsi="仿宋_GB2312" w:cs="仿宋_GB2312" w:eastAsia="仿宋_GB2312"/>
              </w:rPr>
              <w:t>专业服务团队：供应商针对本项目有专业服务团队，各岗位职责分工明确（不限于视频制作中脚本、拍摄、剪辑、配音、图像；线下宣传场景搭建、方案、知识答题平台设计等人员），对人员的职业经历、从业工作经验等要求有详细的描述。 1.有详细的人员配置方案，有健全的组织机构及工作安排，岗位分工明确，得12分； 2.有详细的人员配置方案，组织机构及工作安排基本完善、合理，岗位分工明确，得8分； 3.有详细的人员配置方案，组织机构及工作安排合理性差，岗位分工不明确，得4分； 4.未提供不计分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服务方案或技术方案.docx</w:t>
            </w:r>
          </w:p>
        </w:tc>
      </w:tr>
      <w:tr>
        <w:tc>
          <w:tcPr>
            <w:tcW w:type="dxa" w:w="831"/>
            <w:vMerge/>
          </w:tcPr>
          <w:p/>
        </w:tc>
        <w:tc>
          <w:tcPr>
            <w:tcW w:type="dxa" w:w="1661"/>
          </w:tcPr>
          <w:p>
            <w:pPr>
              <w:pStyle w:val="null3"/>
            </w:pPr>
            <w:r>
              <w:rPr>
                <w:rFonts w:ascii="仿宋_GB2312" w:hAnsi="仿宋_GB2312" w:cs="仿宋_GB2312" w:eastAsia="仿宋_GB2312"/>
              </w:rPr>
              <w:t>服务质量保证措施及承诺</w:t>
            </w:r>
          </w:p>
        </w:tc>
        <w:tc>
          <w:tcPr>
            <w:tcW w:type="dxa" w:w="2492"/>
          </w:tcPr>
          <w:p>
            <w:pPr>
              <w:pStyle w:val="null3"/>
            </w:pPr>
            <w:r>
              <w:rPr>
                <w:rFonts w:ascii="仿宋_GB2312" w:hAnsi="仿宋_GB2312" w:cs="仿宋_GB2312" w:eastAsia="仿宋_GB2312"/>
              </w:rPr>
              <w:t>对本项目宣传服务质量、宣传内容质量保障措施、后续相关服务承诺进行评审。 1.质量保障措施完善、有切实可行的后续相关服务承诺得12分； 2.质量保障措施基本完善、后续相关服务承诺有一定可行性得9分； 3.提供了常规通用的质量保障措施和后续相关服务承诺得6分； 4.质量保障措施有欠缺、后续相关服务承诺不完善得3分； 5.此项未提供者不计分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服务方案或技术方案.docx</w:t>
            </w:r>
          </w:p>
        </w:tc>
      </w:tr>
      <w:tr>
        <w:tc>
          <w:tcPr>
            <w:tcW w:type="dxa" w:w="831"/>
            <w:vMerge/>
          </w:tcPr>
          <w:p/>
        </w:tc>
        <w:tc>
          <w:tcPr>
            <w:tcW w:type="dxa" w:w="1661"/>
          </w:tcPr>
          <w:p>
            <w:pPr>
              <w:pStyle w:val="null3"/>
            </w:pPr>
            <w:r>
              <w:rPr>
                <w:rFonts w:ascii="仿宋_GB2312" w:hAnsi="仿宋_GB2312" w:cs="仿宋_GB2312" w:eastAsia="仿宋_GB2312"/>
              </w:rPr>
              <w:t>难点、重点分析及服务承诺</w:t>
            </w:r>
          </w:p>
        </w:tc>
        <w:tc>
          <w:tcPr>
            <w:tcW w:type="dxa" w:w="2492"/>
          </w:tcPr>
          <w:p>
            <w:pPr>
              <w:pStyle w:val="null3"/>
            </w:pPr>
            <w:r>
              <w:rPr>
                <w:rFonts w:ascii="仿宋_GB2312" w:hAnsi="仿宋_GB2312" w:cs="仿宋_GB2312" w:eastAsia="仿宋_GB2312"/>
              </w:rPr>
              <w:t>供应商须对项目实施过程中存在的难点、重点分析透彻、有预期效果，若未能达到预期效果的解决方案，提供相应服务承诺和保证措施广告设计的版权有所保障，且有具体的服务措施，针对突发状况的后期跟进服务能力及其他增值服务。 1.重难点分析准确，方案内容具体、完整、详细、全面的，资料齐全，计11分； 2.方案内容较完整、详细的，资料基本齐全，计8分； 3.方案内容有欠缺、内容薄弱的，资料有缺陷，计4分； 4.未提供不得分。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服务方案或技术方案.docx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针对本项目有具体的时间进度控制安排保证措施及承诺。 1.思路清晰、内容全面、保证措施及相应承诺详细，完全符合本次采购需求，计7分； 2.思路有偏差、保证措施及相应承诺简单，计4分； 3.思路混乱、保证措施及相应承诺简单不全面，计1分； 3.未提供不计分。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服务方案或技术方案.docx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供应商针对此项目服务期间发生的紧急突发情况，有全面具体的应急预案。 1、应急预案对各类型突发事件都有对应处理措施，内容全面详细，实用，可行性强，得10分； 2、应急预案内容对常见突发事件有对应处理措施，内容基本全面实用，得7分； 3、应急预案内容简单，不具备可行性得4分；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服务方案或技术方案.docx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价格分采用低价优先法计算，即满足采购文件要求且最后报价最低的供应商的价格为评标基准价，其价格分为满分。其他供应商的价格分统一按照下列公式计算：报价得分=（评标基准价/投标报价）×价格权重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详见附件：法人证明书及授权委托书.docx</w:t>
      </w:r>
    </w:p>
    <w:p>
      <w:pPr>
        <w:pStyle w:val="null3"/>
        <w:ind w:firstLine="960"/>
      </w:pPr>
      <w:r>
        <w:rPr>
          <w:rFonts w:ascii="仿宋_GB2312" w:hAnsi="仿宋_GB2312" w:cs="仿宋_GB2312" w:eastAsia="仿宋_GB2312"/>
        </w:rPr>
        <w:t>详见附件：服务方案或技术方案.docx</w:t>
      </w:r>
    </w:p>
    <w:p>
      <w:pPr>
        <w:pStyle w:val="null3"/>
        <w:ind w:firstLine="960"/>
      </w:pPr>
      <w:r>
        <w:rPr>
          <w:rFonts w:ascii="仿宋_GB2312" w:hAnsi="仿宋_GB2312" w:cs="仿宋_GB2312" w:eastAsia="仿宋_GB2312"/>
        </w:rPr>
        <w:t>详见附件：供应商认为有必要说明的其他资料.pdf</w:t>
      </w:r>
    </w:p>
    <w:p>
      <w:pPr>
        <w:pStyle w:val="null3"/>
        <w:ind w:firstLine="960"/>
      </w:pPr>
      <w:r>
        <w:rPr>
          <w:rFonts w:ascii="仿宋_GB2312" w:hAnsi="仿宋_GB2312" w:cs="仿宋_GB2312" w:eastAsia="仿宋_GB2312"/>
        </w:rPr>
        <w:t>详见附件：供应商特殊资格证明文件.pdf</w:t>
      </w:r>
    </w:p>
    <w:p>
      <w:pPr>
        <w:pStyle w:val="null3"/>
        <w:ind w:firstLine="960"/>
      </w:pPr>
      <w:r>
        <w:rPr>
          <w:rFonts w:ascii="仿宋_GB2312" w:hAnsi="仿宋_GB2312" w:cs="仿宋_GB2312" w:eastAsia="仿宋_GB2312"/>
        </w:rPr>
        <w:t>详见附件：供应商一般资格证明文件.pdf</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详见附件：响应分项报价表.docx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