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E7B78">
      <w:pPr>
        <w:pStyle w:val="2"/>
        <w:jc w:val="center"/>
        <w:outlineLvl w:val="0"/>
        <w:rPr>
          <w:rFonts w:hint="eastAsia" w:ascii="宋体" w:hAnsi="宋体" w:cs="宋体"/>
          <w:bCs/>
          <w:color w:val="auto"/>
          <w:kern w:val="44"/>
          <w:sz w:val="44"/>
          <w:szCs w:val="44"/>
          <w:highlight w:val="none"/>
        </w:rPr>
      </w:pPr>
      <w:r>
        <w:rPr>
          <w:rFonts w:hint="eastAsia" w:ascii="宋体" w:hAnsi="宋体" w:cs="宋体"/>
          <w:b/>
          <w:color w:val="auto"/>
          <w:kern w:val="44"/>
          <w:sz w:val="44"/>
          <w:szCs w:val="44"/>
          <w:highlight w:val="none"/>
        </w:rPr>
        <w:t>合同条款</w:t>
      </w:r>
    </w:p>
    <w:p w14:paraId="0B132272">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甲方：</w:t>
      </w:r>
    </w:p>
    <w:p w14:paraId="125DBA2D">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乙方： </w:t>
      </w:r>
    </w:p>
    <w:p w14:paraId="0C83E0DD">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**项目</w:t>
      </w:r>
      <w:r>
        <w:rPr>
          <w:rFonts w:hint="eastAsia" w:ascii="宋体" w:hAnsi="宋体" w:cs="宋体"/>
          <w:bCs/>
          <w:color w:val="auto"/>
          <w:sz w:val="24"/>
          <w:highlight w:val="none"/>
          <w:u w:val="single"/>
        </w:rPr>
        <w:t>(项目编号：</w:t>
      </w:r>
      <w:r>
        <w:rPr>
          <w:rFonts w:hint="eastAsia" w:ascii="宋体" w:hAnsi="宋体" w:cs="宋体"/>
          <w:bCs/>
          <w:color w:val="auto"/>
          <w:sz w:val="24"/>
          <w:highlight w:val="none"/>
          <w:u w:val="single"/>
          <w:lang w:val="en-US" w:eastAsia="zh-CN"/>
        </w:rPr>
        <w:t>***</w:t>
      </w:r>
      <w:r>
        <w:rPr>
          <w:rFonts w:hint="eastAsia" w:ascii="宋体" w:hAnsi="宋体" w:cs="宋体"/>
          <w:bCs/>
          <w:color w:val="auto"/>
          <w:sz w:val="24"/>
          <w:highlight w:val="none"/>
          <w:u w:val="single"/>
        </w:rPr>
        <w:t>)</w:t>
      </w:r>
      <w:r>
        <w:rPr>
          <w:rFonts w:hint="eastAsia" w:ascii="宋体" w:hAnsi="宋体" w:cs="宋体"/>
          <w:bCs/>
          <w:color w:val="auto"/>
          <w:sz w:val="24"/>
          <w:highlight w:val="none"/>
        </w:rPr>
        <w:t>由陕西</w:t>
      </w:r>
      <w:r>
        <w:rPr>
          <w:rFonts w:hint="eastAsia" w:ascii="宋体" w:hAnsi="宋体" w:cs="宋体"/>
          <w:bCs/>
          <w:color w:val="auto"/>
          <w:sz w:val="24"/>
          <w:highlight w:val="none"/>
          <w:lang w:val="en-US" w:eastAsia="zh-CN"/>
        </w:rPr>
        <w:t>汇通</w:t>
      </w:r>
      <w:r>
        <w:rPr>
          <w:rFonts w:hint="eastAsia" w:ascii="宋体" w:hAnsi="宋体" w:cs="宋体"/>
          <w:bCs/>
          <w:color w:val="auto"/>
          <w:sz w:val="24"/>
          <w:highlight w:val="none"/>
        </w:rPr>
        <w:t>招标有限公司组织</w:t>
      </w:r>
      <w:r>
        <w:rPr>
          <w:rFonts w:hint="eastAsia" w:ascii="宋体" w:hAnsi="宋体" w:cs="宋体"/>
          <w:bCs/>
          <w:color w:val="auto"/>
          <w:sz w:val="24"/>
          <w:highlight w:val="none"/>
          <w:lang w:val="en-US" w:eastAsia="zh-CN"/>
        </w:rPr>
        <w:t>公开招标</w:t>
      </w:r>
      <w:r>
        <w:rPr>
          <w:rFonts w:hint="eastAsia" w:ascii="宋体" w:hAnsi="宋体" w:cs="宋体"/>
          <w:bCs/>
          <w:color w:val="auto"/>
          <w:sz w:val="24"/>
          <w:highlight w:val="none"/>
        </w:rPr>
        <w:t>采购，(以下简称“甲方”)确定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w:t>
      </w:r>
      <w:r>
        <w:rPr>
          <w:rFonts w:hint="eastAsia" w:ascii="宋体" w:hAnsi="宋体" w:cs="宋体"/>
          <w:bCs/>
          <w:color w:val="auto"/>
          <w:sz w:val="24"/>
          <w:highlight w:val="none"/>
          <w:lang w:val="en-US" w:eastAsia="zh-CN"/>
        </w:rPr>
        <w:t>中标</w:t>
      </w:r>
      <w:r>
        <w:rPr>
          <w:rFonts w:hint="eastAsia" w:ascii="宋体" w:hAnsi="宋体" w:cs="宋体"/>
          <w:bCs/>
          <w:color w:val="auto"/>
          <w:sz w:val="24"/>
          <w:highlight w:val="none"/>
        </w:rPr>
        <w:t>供应商。</w:t>
      </w:r>
    </w:p>
    <w:p w14:paraId="3A2DF957">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依据《中华人民共和国民法典》，经双方协商按下述条款和条件签署本合同。</w:t>
      </w:r>
    </w:p>
    <w:p w14:paraId="31521D24">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1D991F37">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（一）合同总价款为人民币（大写）</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 ）。</w:t>
      </w:r>
    </w:p>
    <w:p w14:paraId="4AB7C896">
      <w:pPr>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（二）合同总价包括：</w:t>
      </w:r>
      <w:r>
        <w:rPr>
          <w:rFonts w:hint="eastAsia" w:ascii="宋体" w:hAnsi="宋体" w:cs="宋体"/>
          <w:color w:val="auto"/>
          <w:sz w:val="24"/>
          <w:highlight w:val="none"/>
        </w:rPr>
        <w:t>包括但不限于产品(设备)费、材料、安装调试费、运杂费（含保险）、项目实施费、仓储保管费、技术培训费、检测费、劳务、风险、利润、规费、税金、验收、招标代理服务费、政策性文件规定的各项应有费用等其他一切相关费用。</w:t>
      </w:r>
    </w:p>
    <w:p w14:paraId="5E99B496">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（三）合同总价一次性包死，不受市场价格变化因素的影响。</w:t>
      </w:r>
    </w:p>
    <w:p w14:paraId="09CDBD0A">
      <w:pPr>
        <w:autoSpaceDE w:val="0"/>
        <w:autoSpaceDN w:val="0"/>
        <w:adjustRightInd w:val="0"/>
        <w:spacing w:line="348" w:lineRule="auto"/>
        <w:ind w:firstLine="482" w:firstLineChars="200"/>
        <w:rPr>
          <w:rFonts w:hint="eastAsia" w:ascii="宋体" w:hAnsi="宋体" w:cs="宋体"/>
          <w:bCs/>
          <w:color w:val="auto"/>
          <w:sz w:val="24"/>
          <w:highlight w:val="none"/>
        </w:rPr>
      </w:pPr>
      <w:r>
        <w:rPr>
          <w:rFonts w:hint="eastAsia" w:ascii="宋体" w:hAnsi="宋体" w:cs="宋体"/>
          <w:b/>
          <w:bCs/>
          <w:color w:val="auto"/>
          <w:sz w:val="24"/>
          <w:highlight w:val="none"/>
        </w:rPr>
        <w:t>二、产品清单</w:t>
      </w:r>
      <w:r>
        <w:rPr>
          <w:rFonts w:hint="eastAsia" w:ascii="宋体" w:hAnsi="宋体" w:cs="宋体"/>
          <w:bCs/>
          <w:color w:val="auto"/>
          <w:sz w:val="24"/>
          <w:highlight w:val="none"/>
        </w:rPr>
        <w:t>（附后）</w:t>
      </w:r>
    </w:p>
    <w:p w14:paraId="4B4EF18A">
      <w:pPr>
        <w:autoSpaceDE w:val="0"/>
        <w:autoSpaceDN w:val="0"/>
        <w:adjustRightInd w:val="0"/>
        <w:spacing w:line="348" w:lineRule="auto"/>
        <w:ind w:firstLine="482" w:firstLineChars="200"/>
        <w:rPr>
          <w:rFonts w:hint="eastAsia" w:ascii="宋体" w:hAnsi="宋体" w:cs="宋体"/>
          <w:bCs/>
          <w:color w:val="auto"/>
          <w:sz w:val="24"/>
          <w:highlight w:val="none"/>
        </w:rPr>
      </w:pPr>
      <w:r>
        <w:rPr>
          <w:rFonts w:hint="eastAsia" w:ascii="宋体" w:hAnsi="宋体" w:cs="宋体"/>
          <w:b/>
          <w:bCs/>
          <w:color w:val="auto"/>
          <w:sz w:val="24"/>
          <w:highlight w:val="none"/>
        </w:rPr>
        <w:t>三、交货地点及交货期：</w:t>
      </w:r>
    </w:p>
    <w:p w14:paraId="595B9EDA">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（一）交货地点：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w:t>
      </w:r>
    </w:p>
    <w:p w14:paraId="2C26619C">
      <w:pPr>
        <w:spacing w:line="348" w:lineRule="auto"/>
        <w:ind w:firstLine="480" w:firstLineChars="200"/>
        <w:rPr>
          <w:rFonts w:hint="eastAsia" w:ascii="宋体" w:hAnsi="宋体" w:cs="宋体"/>
          <w:color w:val="auto"/>
          <w:sz w:val="24"/>
          <w:highlight w:val="none"/>
        </w:rPr>
      </w:pPr>
      <w:r>
        <w:rPr>
          <w:rFonts w:hint="eastAsia" w:ascii="宋体" w:hAnsi="宋体" w:cs="宋体"/>
          <w:bCs/>
          <w:color w:val="auto"/>
          <w:sz w:val="24"/>
          <w:highlight w:val="none"/>
        </w:rPr>
        <w:t>（二）交货期：</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w:t>
      </w:r>
    </w:p>
    <w:p w14:paraId="7379E68A">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四、付款：</w:t>
      </w:r>
    </w:p>
    <w:p w14:paraId="7574EBAA">
      <w:pPr>
        <w:autoSpaceDE w:val="0"/>
        <w:autoSpaceDN w:val="0"/>
        <w:adjustRightInd w:val="0"/>
        <w:snapToGrid w:val="0"/>
        <w:spacing w:line="360" w:lineRule="auto"/>
        <w:ind w:firstLine="720" w:firstLineChars="300"/>
        <w:rPr>
          <w:rFonts w:hint="eastAsia" w:ascii="宋体" w:hAnsi="宋体" w:cs="宋体"/>
          <w:bCs/>
          <w:color w:val="auto"/>
          <w:sz w:val="24"/>
          <w:highlight w:val="none"/>
        </w:rPr>
      </w:pPr>
      <w:r>
        <w:rPr>
          <w:rFonts w:hint="eastAsia" w:ascii="宋体" w:hAnsi="宋体" w:cs="宋体"/>
          <w:bCs/>
          <w:color w:val="auto"/>
          <w:sz w:val="24"/>
          <w:highlight w:val="none"/>
        </w:rPr>
        <w:t>（一）支付方式：银行转账。</w:t>
      </w:r>
    </w:p>
    <w:p w14:paraId="63F41453">
      <w:pPr>
        <w:pStyle w:val="4"/>
        <w:spacing w:line="360" w:lineRule="auto"/>
        <w:ind w:firstLine="720" w:firstLineChars="300"/>
        <w:rPr>
          <w:rFonts w:hint="eastAsia"/>
          <w:color w:val="auto"/>
          <w:sz w:val="24"/>
          <w:szCs w:val="24"/>
          <w:highlight w:val="none"/>
        </w:rPr>
      </w:pPr>
      <w:r>
        <w:rPr>
          <w:rFonts w:hint="eastAsia" w:ascii="宋体" w:hAnsi="宋体" w:cs="宋体"/>
          <w:bCs/>
          <w:color w:val="auto"/>
          <w:sz w:val="24"/>
          <w:highlight w:val="none"/>
        </w:rPr>
        <w:t>（二）</w:t>
      </w:r>
      <w:r>
        <w:rPr>
          <w:rFonts w:hint="eastAsia"/>
          <w:color w:val="auto"/>
          <w:sz w:val="24"/>
          <w:szCs w:val="24"/>
          <w:highlight w:val="none"/>
        </w:rPr>
        <w:t>结算条件：</w:t>
      </w:r>
      <w:r>
        <w:rPr>
          <w:rFonts w:hint="eastAsia" w:ascii="宋体" w:hAnsi="宋体" w:cs="宋体"/>
          <w:bCs/>
          <w:color w:val="auto"/>
          <w:sz w:val="24"/>
          <w:highlight w:val="none"/>
          <w:lang w:val="en-US" w:eastAsia="zh-CN"/>
        </w:rPr>
        <w:t>中标</w:t>
      </w:r>
      <w:r>
        <w:rPr>
          <w:rFonts w:hint="eastAsia" w:ascii="宋体" w:hAnsi="宋体" w:cs="宋体"/>
          <w:bCs/>
          <w:color w:val="auto"/>
          <w:sz w:val="24"/>
          <w:highlight w:val="none"/>
        </w:rPr>
        <w:t>供应商在接受付款前开具全额发票给采购人。</w:t>
      </w:r>
    </w:p>
    <w:p w14:paraId="63D225B2">
      <w:pPr>
        <w:pStyle w:val="4"/>
        <w:spacing w:line="360" w:lineRule="auto"/>
        <w:ind w:left="210" w:firstLine="480" w:firstLineChars="200"/>
        <w:rPr>
          <w:rFonts w:hint="eastAsia"/>
          <w:color w:val="auto"/>
          <w:sz w:val="24"/>
          <w:szCs w:val="24"/>
          <w:highlight w:val="none"/>
        </w:rPr>
      </w:pPr>
      <w:r>
        <w:rPr>
          <w:rFonts w:hint="eastAsia"/>
          <w:color w:val="auto"/>
          <w:sz w:val="24"/>
          <w:szCs w:val="24"/>
          <w:highlight w:val="none"/>
        </w:rPr>
        <w:t>（三）付款进度：</w:t>
      </w:r>
    </w:p>
    <w:p w14:paraId="24F02712">
      <w:pPr>
        <w:pStyle w:val="4"/>
        <w:spacing w:line="360" w:lineRule="auto"/>
        <w:ind w:left="210" w:firstLine="480" w:firstLineChars="200"/>
        <w:rPr>
          <w:rFonts w:hint="eastAsia"/>
          <w:color w:val="auto"/>
          <w:sz w:val="24"/>
          <w:szCs w:val="24"/>
          <w:highlight w:val="none"/>
        </w:rPr>
      </w:pPr>
      <w:r>
        <w:rPr>
          <w:rFonts w:hint="eastAsia"/>
          <w:color w:val="auto"/>
          <w:sz w:val="24"/>
          <w:szCs w:val="24"/>
          <w:highlight w:val="none"/>
          <w:lang w:val="en-US" w:eastAsia="zh-CN"/>
        </w:rPr>
        <w:t>1</w:t>
      </w:r>
      <w:r>
        <w:rPr>
          <w:rFonts w:hint="eastAsia"/>
          <w:color w:val="auto"/>
          <w:sz w:val="24"/>
          <w:szCs w:val="24"/>
          <w:highlight w:val="none"/>
        </w:rPr>
        <w:t xml:space="preserve">、付款条件说明：合同签订后 ，达到付款条件起 20 日内，支付合同总金额的 </w:t>
      </w:r>
      <w:r>
        <w:rPr>
          <w:rFonts w:hint="eastAsia"/>
          <w:color w:val="auto"/>
          <w:sz w:val="24"/>
          <w:szCs w:val="24"/>
          <w:highlight w:val="none"/>
          <w:lang w:val="en-US" w:eastAsia="zh-CN"/>
        </w:rPr>
        <w:t>40</w:t>
      </w:r>
      <w:r>
        <w:rPr>
          <w:rFonts w:hint="eastAsia"/>
          <w:color w:val="auto"/>
          <w:sz w:val="24"/>
          <w:szCs w:val="24"/>
          <w:highlight w:val="none"/>
        </w:rPr>
        <w:t>.00%。</w:t>
      </w:r>
    </w:p>
    <w:p w14:paraId="6CE36208">
      <w:pPr>
        <w:pStyle w:val="4"/>
        <w:spacing w:line="360" w:lineRule="auto"/>
        <w:ind w:left="210" w:firstLine="480" w:firstLineChars="200"/>
        <w:rPr>
          <w:rFonts w:hint="eastAsia"/>
          <w:color w:val="auto"/>
          <w:sz w:val="24"/>
          <w:szCs w:val="24"/>
          <w:highlight w:val="none"/>
        </w:rPr>
      </w:pPr>
      <w:r>
        <w:rPr>
          <w:rFonts w:hint="eastAsia"/>
          <w:color w:val="auto"/>
          <w:sz w:val="24"/>
          <w:szCs w:val="24"/>
          <w:highlight w:val="none"/>
        </w:rPr>
        <w:t xml:space="preserve">2、付款条件说明：设备交货安装调试结束验收合格后 ，达到付款条件起 20 日内，支付合同总金额的 </w:t>
      </w:r>
      <w:r>
        <w:rPr>
          <w:rFonts w:hint="eastAsia"/>
          <w:color w:val="auto"/>
          <w:sz w:val="24"/>
          <w:szCs w:val="24"/>
          <w:highlight w:val="none"/>
          <w:lang w:val="en-US" w:eastAsia="zh-CN"/>
        </w:rPr>
        <w:t>55</w:t>
      </w:r>
      <w:r>
        <w:rPr>
          <w:rFonts w:hint="eastAsia"/>
          <w:color w:val="auto"/>
          <w:sz w:val="24"/>
          <w:szCs w:val="24"/>
          <w:highlight w:val="none"/>
        </w:rPr>
        <w:t>.00%。</w:t>
      </w:r>
    </w:p>
    <w:p w14:paraId="37D1F887">
      <w:pPr>
        <w:pStyle w:val="4"/>
        <w:spacing w:line="360" w:lineRule="auto"/>
        <w:ind w:left="210" w:firstLine="480" w:firstLineChars="200"/>
        <w:rPr>
          <w:rFonts w:hint="eastAsia"/>
          <w:color w:val="auto"/>
          <w:highlight w:val="none"/>
        </w:rPr>
      </w:pPr>
      <w:r>
        <w:rPr>
          <w:rFonts w:hint="eastAsia"/>
          <w:color w:val="auto"/>
          <w:sz w:val="24"/>
          <w:szCs w:val="24"/>
          <w:highlight w:val="none"/>
        </w:rPr>
        <w:t xml:space="preserve">3、付款条件说明：设备正常运行1年后 ，达到付款条件起 20 日内，支付合同总金额的 </w:t>
      </w:r>
      <w:r>
        <w:rPr>
          <w:rFonts w:hint="eastAsia"/>
          <w:color w:val="auto"/>
          <w:sz w:val="24"/>
          <w:szCs w:val="24"/>
          <w:highlight w:val="none"/>
          <w:lang w:val="en-US" w:eastAsia="zh-CN"/>
        </w:rPr>
        <w:t>5</w:t>
      </w:r>
      <w:bookmarkStart w:id="0" w:name="_GoBack"/>
      <w:bookmarkEnd w:id="0"/>
      <w:r>
        <w:rPr>
          <w:rFonts w:hint="eastAsia"/>
          <w:color w:val="auto"/>
          <w:sz w:val="24"/>
          <w:szCs w:val="24"/>
          <w:highlight w:val="none"/>
        </w:rPr>
        <w:t>.00%。</w:t>
      </w:r>
    </w:p>
    <w:p w14:paraId="6C4C7E2B">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五、双方的权利和义务</w:t>
      </w:r>
    </w:p>
    <w:p w14:paraId="6FA016AC">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09BB65CD">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1.甲方在收到货物通知后，应按</w:t>
      </w:r>
      <w:r>
        <w:rPr>
          <w:rFonts w:hint="eastAsia" w:ascii="宋体" w:hAnsi="宋体" w:cs="宋体"/>
          <w:bCs/>
          <w:color w:val="auto"/>
          <w:sz w:val="24"/>
          <w:highlight w:val="none"/>
          <w:lang w:val="en-US" w:eastAsia="zh-CN"/>
        </w:rPr>
        <w:t>中招标</w:t>
      </w:r>
      <w:r>
        <w:rPr>
          <w:rFonts w:hint="eastAsia" w:ascii="宋体" w:hAnsi="宋体" w:cs="宋体"/>
          <w:bCs/>
          <w:color w:val="auto"/>
          <w:sz w:val="24"/>
          <w:highlight w:val="none"/>
        </w:rPr>
        <w:t>文件的需求进行核实，如发现不符合合同规定或短缺，及时提出，甲方在收到货后，组织人员按提供的技术参数指标进行验收，验收期为</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天，逾期未提出异议，则视为验收合格。甲方必须按交货时间交付乙方指定地点，并现场配合。</w:t>
      </w:r>
    </w:p>
    <w:p w14:paraId="19BC6FFE">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DD4B094">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1.乙方负责产品生产和运输在合同约定的时间完工。</w:t>
      </w:r>
    </w:p>
    <w:p w14:paraId="7C39C494">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2.乙方所提供的产品必须是采购需求产品，运输及交货全过程中的安全由乙方负责。</w:t>
      </w:r>
    </w:p>
    <w:p w14:paraId="277BC79C">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六、</w:t>
      </w:r>
      <w:r>
        <w:rPr>
          <w:rFonts w:hint="eastAsia" w:ascii="宋体" w:hAnsi="宋体" w:cs="宋体"/>
          <w:b/>
          <w:color w:val="auto"/>
          <w:sz w:val="24"/>
          <w:highlight w:val="none"/>
        </w:rPr>
        <w:t>包装、运输、安装及调试要求</w:t>
      </w:r>
    </w:p>
    <w:p w14:paraId="62E27CDA">
      <w:pPr>
        <w:keepNext w:val="0"/>
        <w:keepLines w:val="0"/>
        <w:pageBreakBefore w:val="0"/>
        <w:kinsoku/>
        <w:wordWrap/>
        <w:overflowPunct/>
        <w:topLinePunct w:val="0"/>
        <w:bidi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（一）包装：应采取防潮、防晒、防腐蚀、防震动及防止其它损坏的必要措施。</w:t>
      </w:r>
      <w:r>
        <w:rPr>
          <w:rFonts w:hint="eastAsia" w:ascii="宋体" w:hAnsi="宋体" w:cs="宋体"/>
          <w:bCs/>
          <w:color w:val="auto"/>
          <w:sz w:val="24"/>
          <w:highlight w:val="none"/>
          <w:lang w:eastAsia="zh-CN"/>
        </w:rPr>
        <w:t>中标供应商</w:t>
      </w:r>
      <w:r>
        <w:rPr>
          <w:rFonts w:hint="eastAsia" w:ascii="宋体" w:hAnsi="宋体" w:cs="宋体"/>
          <w:bCs/>
          <w:color w:val="auto"/>
          <w:sz w:val="24"/>
          <w:highlight w:val="none"/>
        </w:rPr>
        <w:t>应承担由于其包装或防护措施不妥而引起的货物锈蚀、异味、损坏和丢失等任何损失造成的责任或费用。</w:t>
      </w:r>
    </w:p>
    <w:p w14:paraId="1C2B717B">
      <w:pPr>
        <w:keepNext w:val="0"/>
        <w:keepLines w:val="0"/>
        <w:pageBreakBefore w:val="0"/>
        <w:kinsoku/>
        <w:wordWrap/>
        <w:overflowPunct/>
        <w:topLinePunct w:val="0"/>
        <w:bidi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（二）运输：选择运输风险小、运费低、距离短的运输路线。运杂费一次包死在总价内，包括生产厂到交货现场所需的装卸、运输（含保险费）、现场保管费、二次倒运费、吊装费等费用。</w:t>
      </w:r>
    </w:p>
    <w:p w14:paraId="60F32EB3">
      <w:pPr>
        <w:keepNext w:val="0"/>
        <w:keepLines w:val="0"/>
        <w:pageBreakBefore w:val="0"/>
        <w:widowControl/>
        <w:kinsoku/>
        <w:wordWrap/>
        <w:overflowPunct/>
        <w:topLinePunct w:val="0"/>
        <w:bidi w:val="0"/>
        <w:snapToGrid w:val="0"/>
        <w:spacing w:line="360" w:lineRule="auto"/>
        <w:ind w:firstLine="480" w:firstLineChars="200"/>
        <w:jc w:val="left"/>
        <w:textAlignment w:val="auto"/>
        <w:rPr>
          <w:rFonts w:hint="eastAsia"/>
          <w:color w:val="auto"/>
          <w:highlight w:val="none"/>
        </w:rPr>
      </w:pPr>
      <w:r>
        <w:rPr>
          <w:rFonts w:hint="eastAsia" w:ascii="宋体" w:hAnsi="宋体" w:cs="宋体"/>
          <w:bCs/>
          <w:color w:val="auto"/>
          <w:sz w:val="24"/>
          <w:highlight w:val="none"/>
        </w:rPr>
        <w:t>（三）</w:t>
      </w:r>
      <w:r>
        <w:rPr>
          <w:rFonts w:hint="eastAsia" w:ascii="宋体" w:hAnsi="宋体" w:cs="宋体"/>
          <w:color w:val="auto"/>
          <w:sz w:val="24"/>
          <w:highlight w:val="none"/>
        </w:rPr>
        <w:t>安装、调试：</w:t>
      </w:r>
      <w:r>
        <w:rPr>
          <w:rFonts w:hint="eastAsia" w:ascii="宋体" w:hAnsi="宋体" w:cs="宋体"/>
          <w:bCs/>
          <w:color w:val="auto"/>
          <w:sz w:val="24"/>
          <w:highlight w:val="none"/>
          <w:lang w:eastAsia="zh-CN"/>
        </w:rPr>
        <w:t>中标供应商</w:t>
      </w:r>
      <w:r>
        <w:rPr>
          <w:rFonts w:hint="eastAsia" w:ascii="宋体" w:hAnsi="宋体" w:cs="宋体"/>
          <w:color w:val="auto"/>
          <w:sz w:val="24"/>
          <w:highlight w:val="none"/>
        </w:rPr>
        <w:t>负责所有设备/软件的安装、调试、培训工作，所有费用一次包死在总价内。</w:t>
      </w:r>
    </w:p>
    <w:p w14:paraId="770161DD">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七、质量保证</w:t>
      </w:r>
    </w:p>
    <w:p w14:paraId="12246799">
      <w:pPr>
        <w:keepNext w:val="0"/>
        <w:keepLines w:val="0"/>
        <w:pageBreakBefore w:val="0"/>
        <w:tabs>
          <w:tab w:val="left" w:pos="840"/>
        </w:tabs>
        <w:kinsoku/>
        <w:wordWrap/>
        <w:overflowPunct/>
        <w:topLinePunct w:val="0"/>
        <w:bidi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bCs/>
          <w:color w:val="auto"/>
          <w:sz w:val="24"/>
          <w:highlight w:val="none"/>
        </w:rPr>
        <w:t>（一）</w:t>
      </w:r>
      <w:r>
        <w:rPr>
          <w:rFonts w:hint="eastAsia" w:ascii="宋体" w:hAnsi="宋体" w:cs="宋体"/>
          <w:color w:val="auto"/>
          <w:sz w:val="24"/>
          <w:highlight w:val="none"/>
        </w:rPr>
        <w:t>质保期为验收合格后不少于</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年（参数中有具体要求的，按参数要求提供质保）</w:t>
      </w:r>
      <w:r>
        <w:rPr>
          <w:rFonts w:hint="eastAsia" w:ascii="宋体" w:hAnsi="宋体" w:cs="宋体"/>
          <w:color w:val="auto"/>
          <w:sz w:val="24"/>
          <w:highlight w:val="none"/>
          <w:lang w:eastAsia="zh-CN"/>
        </w:rPr>
        <w:t>中标供应商</w:t>
      </w:r>
      <w:r>
        <w:rPr>
          <w:rFonts w:hint="eastAsia" w:ascii="宋体" w:hAnsi="宋体" w:cs="宋体"/>
          <w:color w:val="auto"/>
          <w:sz w:val="24"/>
          <w:highlight w:val="none"/>
        </w:rPr>
        <w:t>承诺的质保期超过</w:t>
      </w:r>
      <w:r>
        <w:rPr>
          <w:rFonts w:hint="eastAsia" w:ascii="宋体" w:hAnsi="宋体" w:cs="宋体"/>
          <w:color w:val="auto"/>
          <w:sz w:val="24"/>
          <w:highlight w:val="none"/>
          <w:lang w:val="en-US" w:eastAsia="zh-CN"/>
        </w:rPr>
        <w:t>招标</w:t>
      </w:r>
      <w:r>
        <w:rPr>
          <w:rFonts w:hint="eastAsia" w:ascii="宋体" w:hAnsi="宋体" w:cs="宋体"/>
          <w:color w:val="auto"/>
          <w:sz w:val="24"/>
          <w:highlight w:val="none"/>
        </w:rPr>
        <w:t>文件要求的，按其承诺时间质保/免费服务期。</w:t>
      </w:r>
    </w:p>
    <w:p w14:paraId="43F481EA">
      <w:pPr>
        <w:keepNext w:val="0"/>
        <w:keepLines w:val="0"/>
        <w:pageBreakBefore w:val="0"/>
        <w:tabs>
          <w:tab w:val="left" w:pos="840"/>
        </w:tabs>
        <w:kinsoku/>
        <w:wordWrap/>
        <w:overflowPunct/>
        <w:topLinePunct w:val="0"/>
        <w:bidi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bCs/>
          <w:color w:val="auto"/>
          <w:sz w:val="24"/>
          <w:highlight w:val="none"/>
        </w:rPr>
        <w:t>（二）</w:t>
      </w:r>
      <w:r>
        <w:rPr>
          <w:rFonts w:hint="eastAsia" w:ascii="宋体" w:hAnsi="宋体" w:cs="宋体"/>
          <w:color w:val="auto"/>
          <w:sz w:val="24"/>
          <w:highlight w:val="none"/>
          <w:lang w:eastAsia="zh-CN"/>
        </w:rPr>
        <w:t>中标供应商</w:t>
      </w:r>
      <w:r>
        <w:rPr>
          <w:rFonts w:hint="eastAsia" w:ascii="宋体" w:hAnsi="宋体" w:cs="宋体"/>
          <w:color w:val="auto"/>
          <w:sz w:val="24"/>
          <w:highlight w:val="none"/>
        </w:rPr>
        <w:t>承诺的质保期/免费服务期起始时间为验收合格之日。</w:t>
      </w:r>
    </w:p>
    <w:p w14:paraId="41004E9A">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（三）所有产品质量必须符合行业标准，国标有强制性规定或政策要求的按国标执行。所有货物必须是未使用过的新产品，质量优良、渠道正当。</w:t>
      </w:r>
    </w:p>
    <w:p w14:paraId="13C204B3">
      <w:pPr>
        <w:keepNext w:val="0"/>
        <w:keepLines w:val="0"/>
        <w:pageBreakBefore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八、技术与服务</w:t>
      </w:r>
    </w:p>
    <w:p w14:paraId="699F1097">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（一）技术资料：</w:t>
      </w:r>
    </w:p>
    <w:p w14:paraId="51A03245">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1.产品合格证；</w:t>
      </w:r>
    </w:p>
    <w:p w14:paraId="63CB0E58">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 xml:space="preserve">2.产品使用说明书（中文）； </w:t>
      </w:r>
    </w:p>
    <w:p w14:paraId="6B853693">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3.进口产品商检证明和报关单（若有）；</w:t>
      </w:r>
    </w:p>
    <w:p w14:paraId="6C2F14F6">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4.调试记录，测试报告；</w:t>
      </w:r>
    </w:p>
    <w:p w14:paraId="663EE0FA">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5.其它资料等。</w:t>
      </w:r>
    </w:p>
    <w:p w14:paraId="7A6780A6">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（二）服务承诺：以</w:t>
      </w:r>
      <w:r>
        <w:rPr>
          <w:rFonts w:hint="eastAsia" w:ascii="宋体" w:hAnsi="宋体" w:cs="宋体"/>
          <w:bCs/>
          <w:color w:val="auto"/>
          <w:sz w:val="24"/>
          <w:highlight w:val="none"/>
          <w:lang w:val="en-US" w:eastAsia="zh-CN"/>
        </w:rPr>
        <w:t>招标</w:t>
      </w:r>
      <w:r>
        <w:rPr>
          <w:rFonts w:hint="eastAsia" w:ascii="宋体" w:hAnsi="宋体" w:cs="宋体"/>
          <w:bCs/>
          <w:color w:val="auto"/>
          <w:sz w:val="24"/>
          <w:highlight w:val="none"/>
        </w:rPr>
        <w:t>文件、澄清表、合同和随产品的相关文件为准，但至少应包括：</w:t>
      </w:r>
    </w:p>
    <w:p w14:paraId="2A6C460C">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1.乙方对其所售产品负责备品配件的供应,长期提供有偿维修、技术咨询等服务。</w:t>
      </w:r>
    </w:p>
    <w:p w14:paraId="385B2452">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2.服务响应时限：7*24小时服务。</w:t>
      </w:r>
    </w:p>
    <w:p w14:paraId="3846779C">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3.派专人对所供产品提供售后服务，并每月定期对所供产品进行巡检，做好巡检记录。</w:t>
      </w:r>
    </w:p>
    <w:p w14:paraId="0EC62BD6">
      <w:pPr>
        <w:keepNext w:val="0"/>
        <w:keepLines w:val="0"/>
        <w:pageBreakBefore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4.售后服务：</w:t>
      </w:r>
      <w:r>
        <w:rPr>
          <w:rFonts w:hint="eastAsia" w:ascii="宋体" w:hAnsi="宋体" w:cs="宋体"/>
          <w:bCs/>
          <w:color w:val="auto"/>
          <w:sz w:val="24"/>
          <w:highlight w:val="none"/>
          <w:lang w:val="en-US" w:eastAsia="zh-CN"/>
        </w:rPr>
        <w:t>所有设备均要求</w:t>
      </w:r>
      <w:r>
        <w:rPr>
          <w:rFonts w:hint="eastAsia" w:ascii="宋体" w:hAnsi="宋体" w:cs="宋体"/>
          <w:bCs/>
          <w:color w:val="auto"/>
          <w:sz w:val="24"/>
          <w:highlight w:val="none"/>
        </w:rPr>
        <w:t>原厂配置</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且供应商</w:t>
      </w:r>
      <w:r>
        <w:rPr>
          <w:rFonts w:hint="eastAsia" w:ascii="宋体" w:hAnsi="宋体" w:cs="宋体"/>
          <w:bCs/>
          <w:color w:val="auto"/>
          <w:sz w:val="24"/>
          <w:highlight w:val="none"/>
          <w:lang w:val="en-US" w:eastAsia="zh-CN"/>
        </w:rPr>
        <w:t>不低于</w:t>
      </w:r>
      <w:r>
        <w:rPr>
          <w:rFonts w:hint="eastAsia" w:ascii="宋体" w:hAnsi="宋体" w:cs="宋体"/>
          <w:bCs/>
          <w:color w:val="auto"/>
          <w:sz w:val="24"/>
          <w:highlight w:val="none"/>
        </w:rPr>
        <w:t>三年保修及上门</w:t>
      </w:r>
      <w:r>
        <w:rPr>
          <w:rFonts w:hint="eastAsia" w:ascii="宋体" w:hAnsi="宋体" w:cs="宋体"/>
          <w:bCs/>
          <w:color w:val="auto"/>
          <w:sz w:val="24"/>
          <w:highlight w:val="none"/>
          <w:lang w:val="en-US" w:eastAsia="zh-CN"/>
        </w:rPr>
        <w:t>服务</w:t>
      </w: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如供应商投标文件承诺服务期限超过三年的，按供应商承诺执行，</w:t>
      </w:r>
      <w:r>
        <w:rPr>
          <w:rFonts w:hint="eastAsia" w:ascii="宋体" w:hAnsi="宋体" w:cs="宋体"/>
          <w:bCs/>
          <w:color w:val="auto"/>
          <w:sz w:val="24"/>
          <w:highlight w:val="none"/>
        </w:rPr>
        <w:t>提供售后电话及售后服务承诺函。</w:t>
      </w:r>
    </w:p>
    <w:p w14:paraId="17C514C2">
      <w:pPr>
        <w:pStyle w:val="2"/>
        <w:keepNext w:val="0"/>
        <w:keepLines w:val="0"/>
        <w:pageBreakBefore w:val="0"/>
        <w:kinsoku/>
        <w:wordWrap/>
        <w:overflowPunct/>
        <w:topLinePunct w:val="0"/>
        <w:bidi w:val="0"/>
        <w:spacing w:after="0" w:line="360" w:lineRule="auto"/>
        <w:ind w:firstLine="480" w:firstLineChars="200"/>
        <w:textAlignment w:val="auto"/>
        <w:rPr>
          <w:color w:val="auto"/>
          <w:highlight w:val="none"/>
        </w:rPr>
      </w:pPr>
      <w:r>
        <w:rPr>
          <w:rFonts w:hint="eastAsia" w:ascii="宋体" w:hAnsi="宋体" w:cs="宋体"/>
          <w:bCs/>
          <w:color w:val="auto"/>
          <w:sz w:val="24"/>
          <w:highlight w:val="none"/>
          <w:lang w:val="en-US" w:eastAsia="zh-CN"/>
        </w:rPr>
        <w:t>5.中标供应商在产品交付和施工过程中所有的安全事故均供应商自行负责，校方不承担中标供应商的任何人员及财产的损失的责任。</w:t>
      </w:r>
    </w:p>
    <w:p w14:paraId="6B309166">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九、违约责任</w:t>
      </w:r>
    </w:p>
    <w:p w14:paraId="1AF79E97">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（一）按《中华人民共和国民法典》中的相关条款执行。</w:t>
      </w:r>
    </w:p>
    <w:p w14:paraId="68EC203D">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（二）乙方交货期每超过一天，扣除乙方合同总价款的</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，迟交产品超过</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天，甲方有权拒收产品。</w:t>
      </w:r>
    </w:p>
    <w:p w14:paraId="16CCE57F">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三）按合同要求提供产品或产品质量不能满足采购技术要求，乙方必须无条件更换产品，提高技术，完善质量，否则，甲方会同监督机构、采购代理机构有权终止合同并对乙方违约行为进行追究，同时进行相应的处罚。</w:t>
      </w:r>
    </w:p>
    <w:p w14:paraId="75130B0C">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（四）任何一方因不可抗力原因不能履行协议时，应尽快通知对方，双方均设法补偿。如仍无法履约协议，可协商延缓或撤销协议，双方责任免除。</w:t>
      </w:r>
    </w:p>
    <w:p w14:paraId="5F6F7C29">
      <w:pPr>
        <w:autoSpaceDE w:val="0"/>
        <w:autoSpaceDN w:val="0"/>
        <w:adjustRightInd w:val="0"/>
        <w:spacing w:line="360" w:lineRule="auto"/>
        <w:ind w:firstLine="480" w:firstLineChars="200"/>
        <w:rPr>
          <w:rFonts w:hint="eastAsia" w:ascii="宋体" w:hAnsi="宋体" w:cs="宋体"/>
          <w:b/>
          <w:bCs/>
          <w:color w:val="auto"/>
          <w:sz w:val="24"/>
          <w:highlight w:val="none"/>
        </w:rPr>
      </w:pPr>
      <w:r>
        <w:rPr>
          <w:rFonts w:hint="eastAsia" w:ascii="宋体" w:hAnsi="宋体" w:cs="宋体"/>
          <w:color w:val="auto"/>
          <w:sz w:val="24"/>
          <w:highlight w:val="none"/>
        </w:rPr>
        <w:t>（五）甲方逾期</w:t>
      </w:r>
      <w:r>
        <w:rPr>
          <w:rFonts w:hint="eastAsia" w:ascii="宋体" w:hAnsi="宋体" w:cs="宋体"/>
          <w:bCs/>
          <w:color w:val="auto"/>
          <w:sz w:val="24"/>
          <w:highlight w:val="none"/>
        </w:rPr>
        <w:t>付款，则每日按本合同总价的</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 xml:space="preserve">%向乙方偿付违约金。 </w:t>
      </w:r>
    </w:p>
    <w:p w14:paraId="3052A156">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十、验收</w:t>
      </w:r>
    </w:p>
    <w:p w14:paraId="3ADC1B89">
      <w:pPr>
        <w:widowControl/>
        <w:snapToGrid w:val="0"/>
        <w:spacing w:line="500" w:lineRule="exact"/>
        <w:ind w:firstLine="480" w:firstLineChars="200"/>
        <w:jc w:val="left"/>
        <w:rPr>
          <w:rFonts w:hint="eastAsia" w:ascii="宋体" w:hAnsi="宋体" w:cs="宋体"/>
          <w:bCs/>
          <w:color w:val="auto"/>
          <w:sz w:val="24"/>
          <w:highlight w:val="none"/>
        </w:rPr>
      </w:pPr>
      <w:r>
        <w:rPr>
          <w:rFonts w:hint="eastAsia" w:ascii="宋体" w:hAnsi="宋体" w:cs="宋体"/>
          <w:bCs/>
          <w:color w:val="auto"/>
          <w:sz w:val="24"/>
          <w:highlight w:val="none"/>
        </w:rPr>
        <w:t>（一）中标人配合采购人验收。若存在验收费用，由乙方自行承担。</w:t>
      </w:r>
    </w:p>
    <w:p w14:paraId="5E2FF665">
      <w:pPr>
        <w:widowControl/>
        <w:snapToGrid w:val="0"/>
        <w:spacing w:line="360" w:lineRule="auto"/>
        <w:ind w:firstLine="480" w:firstLineChars="200"/>
        <w:jc w:val="left"/>
        <w:rPr>
          <w:rFonts w:hint="eastAsia" w:ascii="宋体" w:hAnsi="宋体" w:cs="宋体"/>
          <w:color w:val="auto"/>
          <w:sz w:val="24"/>
          <w:highlight w:val="none"/>
        </w:rPr>
      </w:pPr>
      <w:r>
        <w:rPr>
          <w:rFonts w:hint="eastAsia" w:ascii="宋体" w:hAnsi="宋体" w:cs="宋体"/>
          <w:bCs/>
          <w:color w:val="auto"/>
          <w:sz w:val="24"/>
          <w:highlight w:val="none"/>
        </w:rPr>
        <w:t>（二）</w:t>
      </w:r>
      <w:r>
        <w:rPr>
          <w:rFonts w:hint="eastAsia" w:ascii="宋体" w:hAnsi="宋体" w:cs="宋体"/>
          <w:color w:val="auto"/>
          <w:sz w:val="24"/>
          <w:highlight w:val="none"/>
        </w:rPr>
        <w:t>货物到达交货地点，由采购人根据采购合同约定，对货物的名称、种类、品牌、规格、型号、产地、数量进行检查。</w:t>
      </w:r>
    </w:p>
    <w:p w14:paraId="669B08CA">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（三）合格后，乙方准备验收文件，并书面通知甲方。</w:t>
      </w:r>
    </w:p>
    <w:p w14:paraId="0DAAF60E">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（四）乙方向甲方提交产品相关资料。以便甲方日后管理和维护。</w:t>
      </w:r>
    </w:p>
    <w:p w14:paraId="38C9582F">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（五）验收依据：</w:t>
      </w:r>
    </w:p>
    <w:p w14:paraId="05B0B8EB">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1.本合同及附加文本；</w:t>
      </w:r>
    </w:p>
    <w:p w14:paraId="7212CE36">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2.</w:t>
      </w:r>
      <w:r>
        <w:rPr>
          <w:rFonts w:hint="eastAsia" w:ascii="宋体" w:hAnsi="宋体" w:cs="宋体"/>
          <w:bCs/>
          <w:color w:val="auto"/>
          <w:sz w:val="24"/>
          <w:highlight w:val="none"/>
          <w:lang w:val="en-US" w:eastAsia="zh-CN"/>
        </w:rPr>
        <w:t>招标</w:t>
      </w:r>
      <w:r>
        <w:rPr>
          <w:rFonts w:hint="eastAsia" w:ascii="宋体" w:hAnsi="宋体" w:cs="宋体"/>
          <w:bCs/>
          <w:color w:val="auto"/>
          <w:sz w:val="24"/>
          <w:highlight w:val="none"/>
        </w:rPr>
        <w:t>文件、</w:t>
      </w:r>
      <w:r>
        <w:rPr>
          <w:rFonts w:hint="eastAsia" w:ascii="宋体" w:hAnsi="宋体" w:cs="宋体"/>
          <w:bCs/>
          <w:color w:val="auto"/>
          <w:sz w:val="24"/>
          <w:highlight w:val="none"/>
          <w:lang w:val="en-US" w:eastAsia="zh-CN"/>
        </w:rPr>
        <w:t>中标</w:t>
      </w:r>
      <w:r>
        <w:rPr>
          <w:rFonts w:hint="eastAsia" w:ascii="宋体" w:hAnsi="宋体" w:cs="宋体"/>
          <w:bCs/>
          <w:color w:val="auto"/>
          <w:sz w:val="24"/>
          <w:highlight w:val="none"/>
        </w:rPr>
        <w:t>供应商的</w:t>
      </w:r>
      <w:r>
        <w:rPr>
          <w:rFonts w:hint="eastAsia" w:ascii="宋体" w:hAnsi="宋体" w:cs="宋体"/>
          <w:bCs/>
          <w:color w:val="auto"/>
          <w:sz w:val="24"/>
          <w:highlight w:val="none"/>
          <w:lang w:val="en-US" w:eastAsia="zh-CN"/>
        </w:rPr>
        <w:t>投标</w:t>
      </w:r>
      <w:r>
        <w:rPr>
          <w:rFonts w:hint="eastAsia" w:ascii="宋体" w:hAnsi="宋体" w:cs="宋体"/>
          <w:bCs/>
          <w:color w:val="auto"/>
          <w:sz w:val="24"/>
          <w:highlight w:val="none"/>
        </w:rPr>
        <w:t>响应文件及澄清函、承诺函；</w:t>
      </w:r>
    </w:p>
    <w:p w14:paraId="0CF929AE">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十一、合同争议解决的方式</w:t>
      </w:r>
    </w:p>
    <w:p w14:paraId="0A3F90EA">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10A73670">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（一）提交当地仲裁委员会仲裁；</w:t>
      </w:r>
    </w:p>
    <w:p w14:paraId="4049C7F5">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717CC76A">
      <w:pPr>
        <w:autoSpaceDE w:val="0"/>
        <w:autoSpaceDN w:val="0"/>
        <w:adjustRightInd w:val="0"/>
        <w:spacing w:line="348" w:lineRule="auto"/>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十二、合同生效</w:t>
      </w:r>
    </w:p>
    <w:p w14:paraId="31D0FB9C">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36B25D75">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（二）合同生效后，甲、乙双方须严格执行本合同条款的规定，全面履行合同，违者按中华人民共和国民法典》的有关规定承担相应责任。</w:t>
      </w:r>
    </w:p>
    <w:p w14:paraId="34DC8C48">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（三）本合同一式</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份，甲乙双方各执</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份。</w:t>
      </w:r>
    </w:p>
    <w:p w14:paraId="54BDA227">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（四）本合同如有未尽事宜，甲、乙双方协商解决。</w:t>
      </w:r>
    </w:p>
    <w:p w14:paraId="7E65FC03">
      <w:pPr>
        <w:autoSpaceDE w:val="0"/>
        <w:autoSpaceDN w:val="0"/>
        <w:adjustRightInd w:val="0"/>
        <w:spacing w:line="348"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（五）采购人与</w:t>
      </w:r>
      <w:r>
        <w:rPr>
          <w:rFonts w:hint="eastAsia" w:ascii="宋体" w:hAnsi="宋体" w:cs="宋体"/>
          <w:bCs/>
          <w:color w:val="auto"/>
          <w:sz w:val="24"/>
          <w:highlight w:val="none"/>
          <w:lang w:eastAsia="zh-CN"/>
        </w:rPr>
        <w:t>中标供应商</w:t>
      </w:r>
      <w:r>
        <w:rPr>
          <w:rFonts w:hint="eastAsia" w:ascii="宋体" w:hAnsi="宋体" w:cs="宋体"/>
          <w:bCs/>
          <w:color w:val="auto"/>
          <w:sz w:val="24"/>
          <w:highlight w:val="none"/>
        </w:rPr>
        <w:t>应当在</w:t>
      </w:r>
      <w:r>
        <w:rPr>
          <w:rFonts w:hint="eastAsia" w:ascii="宋体" w:hAnsi="宋体" w:cs="宋体"/>
          <w:bCs/>
          <w:color w:val="auto"/>
          <w:sz w:val="24"/>
          <w:highlight w:val="none"/>
          <w:lang w:val="en-US" w:eastAsia="zh-CN"/>
        </w:rPr>
        <w:t>中标</w:t>
      </w:r>
      <w:r>
        <w:rPr>
          <w:rFonts w:hint="eastAsia" w:ascii="宋体" w:hAnsi="宋体" w:cs="宋体"/>
          <w:bCs/>
          <w:color w:val="auto"/>
          <w:sz w:val="24"/>
          <w:highlight w:val="none"/>
        </w:rPr>
        <w:t>通知书发出之日起30日内，按照</w:t>
      </w:r>
      <w:r>
        <w:rPr>
          <w:rFonts w:hint="eastAsia" w:ascii="宋体" w:hAnsi="宋体" w:cs="宋体"/>
          <w:bCs/>
          <w:color w:val="auto"/>
          <w:sz w:val="24"/>
          <w:highlight w:val="none"/>
          <w:lang w:val="en-US" w:eastAsia="zh-CN"/>
        </w:rPr>
        <w:t>招标</w:t>
      </w:r>
      <w:r>
        <w:rPr>
          <w:rFonts w:hint="eastAsia" w:ascii="宋体" w:hAnsi="宋体" w:cs="宋体"/>
          <w:bCs/>
          <w:color w:val="auto"/>
          <w:sz w:val="24"/>
          <w:highlight w:val="none"/>
        </w:rPr>
        <w:t>文件确定的采购标的、规格型号、采购金额、采购数量、技术和服务要求及商务要求等事项签订采购合同。</w:t>
      </w:r>
    </w:p>
    <w:p w14:paraId="6FC46E39">
      <w:pPr>
        <w:autoSpaceDE w:val="0"/>
        <w:autoSpaceDN w:val="0"/>
        <w:adjustRightInd w:val="0"/>
        <w:snapToGri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（六）所签订的合同不得对</w:t>
      </w:r>
      <w:r>
        <w:rPr>
          <w:rFonts w:hint="eastAsia" w:ascii="宋体" w:hAnsi="宋体" w:cs="宋体"/>
          <w:bCs/>
          <w:color w:val="auto"/>
          <w:sz w:val="24"/>
          <w:highlight w:val="none"/>
          <w:lang w:val="en-US" w:eastAsia="zh-CN"/>
        </w:rPr>
        <w:t>招标</w:t>
      </w:r>
      <w:r>
        <w:rPr>
          <w:rFonts w:hint="eastAsia" w:ascii="宋体" w:hAnsi="宋体" w:cs="宋体"/>
          <w:bCs/>
          <w:color w:val="auto"/>
          <w:sz w:val="24"/>
          <w:highlight w:val="none"/>
        </w:rPr>
        <w:t>文件确定的事项和</w:t>
      </w:r>
      <w:r>
        <w:rPr>
          <w:rFonts w:hint="eastAsia" w:ascii="宋体" w:hAnsi="宋体" w:cs="宋体"/>
          <w:bCs/>
          <w:color w:val="auto"/>
          <w:sz w:val="24"/>
          <w:highlight w:val="none"/>
          <w:lang w:val="en-US" w:eastAsia="zh-CN"/>
        </w:rPr>
        <w:t>中标</w:t>
      </w:r>
      <w:r>
        <w:rPr>
          <w:rFonts w:hint="eastAsia" w:ascii="宋体" w:hAnsi="宋体" w:cs="宋体"/>
          <w:bCs/>
          <w:color w:val="auto"/>
          <w:sz w:val="24"/>
          <w:highlight w:val="none"/>
        </w:rPr>
        <w:t>供应商</w:t>
      </w:r>
      <w:r>
        <w:rPr>
          <w:rFonts w:hint="eastAsia" w:ascii="宋体" w:hAnsi="宋体" w:cs="宋体"/>
          <w:bCs/>
          <w:color w:val="auto"/>
          <w:sz w:val="24"/>
          <w:highlight w:val="none"/>
          <w:lang w:val="en-US" w:eastAsia="zh-CN"/>
        </w:rPr>
        <w:t>投标</w:t>
      </w:r>
      <w:r>
        <w:rPr>
          <w:rFonts w:hint="eastAsia" w:ascii="宋体" w:hAnsi="宋体" w:cs="宋体"/>
          <w:bCs/>
          <w:color w:val="auto"/>
          <w:sz w:val="24"/>
          <w:highlight w:val="none"/>
        </w:rPr>
        <w:t>响应文件做实质性修改。</w:t>
      </w:r>
    </w:p>
    <w:p w14:paraId="3B4BC669">
      <w:pPr>
        <w:pStyle w:val="3"/>
        <w:ind w:firstLine="480" w:firstLineChars="200"/>
        <w:rPr>
          <w:color w:val="auto"/>
          <w:highlight w:val="none"/>
        </w:rPr>
      </w:pPr>
      <w:r>
        <w:rPr>
          <w:rFonts w:hint="eastAsia" w:ascii="宋体" w:hAnsi="宋体" w:cs="宋体"/>
          <w:bCs/>
          <w:color w:val="auto"/>
          <w:sz w:val="24"/>
          <w:highlight w:val="none"/>
        </w:rPr>
        <w:t>（七）甲乙双方不得擅自变更、中止、终止采购合同。</w:t>
      </w:r>
    </w:p>
    <w:p w14:paraId="296096EA">
      <w:pPr>
        <w:spacing w:line="360" w:lineRule="auto"/>
        <w:ind w:firstLine="482" w:firstLineChars="200"/>
        <w:rPr>
          <w:rFonts w:hint="eastAsia" w:ascii="宋体" w:hAnsi="宋体" w:cs="宋体"/>
          <w:b/>
          <w:bCs/>
          <w:color w:val="auto"/>
          <w:sz w:val="24"/>
          <w:highlight w:val="none"/>
        </w:rPr>
      </w:pPr>
    </w:p>
    <w:tbl>
      <w:tblPr>
        <w:tblStyle w:val="5"/>
        <w:tblpPr w:leftFromText="180" w:rightFromText="180" w:vertAnchor="text" w:horzAnchor="page" w:tblpX="1394" w:tblpY="291"/>
        <w:tblOverlap w:val="never"/>
        <w:tblW w:w="0" w:type="auto"/>
        <w:tblInd w:w="0" w:type="dxa"/>
        <w:tblLayout w:type="fixed"/>
        <w:tblCellMar>
          <w:top w:w="0" w:type="dxa"/>
          <w:left w:w="108" w:type="dxa"/>
          <w:bottom w:w="0" w:type="dxa"/>
          <w:right w:w="108" w:type="dxa"/>
        </w:tblCellMar>
      </w:tblPr>
      <w:tblGrid>
        <w:gridCol w:w="4609"/>
        <w:gridCol w:w="4610"/>
      </w:tblGrid>
      <w:tr w14:paraId="0061D7A5">
        <w:trPr>
          <w:trHeight w:val="569" w:hRule="exact"/>
        </w:trPr>
        <w:tc>
          <w:tcPr>
            <w:tcW w:w="4609" w:type="dxa"/>
            <w:noWrap w:val="0"/>
            <w:vAlign w:val="center"/>
          </w:tcPr>
          <w:p w14:paraId="47EDE1AA">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甲  方</w:t>
            </w:r>
          </w:p>
        </w:tc>
        <w:tc>
          <w:tcPr>
            <w:tcW w:w="4610" w:type="dxa"/>
            <w:noWrap w:val="0"/>
            <w:vAlign w:val="center"/>
          </w:tcPr>
          <w:p w14:paraId="5026CD26">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乙  方</w:t>
            </w:r>
          </w:p>
        </w:tc>
      </w:tr>
      <w:tr w14:paraId="7DAD68C2">
        <w:tblPrEx>
          <w:tblCellMar>
            <w:top w:w="0" w:type="dxa"/>
            <w:left w:w="108" w:type="dxa"/>
            <w:bottom w:w="0" w:type="dxa"/>
            <w:right w:w="108" w:type="dxa"/>
          </w:tblCellMar>
        </w:tblPrEx>
        <w:trPr>
          <w:trHeight w:val="569" w:hRule="exact"/>
        </w:trPr>
        <w:tc>
          <w:tcPr>
            <w:tcW w:w="4609" w:type="dxa"/>
            <w:noWrap w:val="0"/>
            <w:vAlign w:val="center"/>
          </w:tcPr>
          <w:p w14:paraId="57C96FD8">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（盖章）</w:t>
            </w:r>
          </w:p>
        </w:tc>
        <w:tc>
          <w:tcPr>
            <w:tcW w:w="4610" w:type="dxa"/>
            <w:noWrap w:val="0"/>
            <w:vAlign w:val="center"/>
          </w:tcPr>
          <w:p w14:paraId="27D40C1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（盖章）</w:t>
            </w:r>
          </w:p>
        </w:tc>
      </w:tr>
      <w:tr w14:paraId="387817FB">
        <w:tblPrEx>
          <w:tblCellMar>
            <w:top w:w="0" w:type="dxa"/>
            <w:left w:w="108" w:type="dxa"/>
            <w:bottom w:w="0" w:type="dxa"/>
            <w:right w:w="108" w:type="dxa"/>
          </w:tblCellMar>
        </w:tblPrEx>
        <w:trPr>
          <w:trHeight w:val="569" w:hRule="exact"/>
        </w:trPr>
        <w:tc>
          <w:tcPr>
            <w:tcW w:w="4609" w:type="dxa"/>
            <w:noWrap w:val="0"/>
            <w:vAlign w:val="center"/>
          </w:tcPr>
          <w:p w14:paraId="4062D512">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地址： </w:t>
            </w:r>
          </w:p>
        </w:tc>
        <w:tc>
          <w:tcPr>
            <w:tcW w:w="4610" w:type="dxa"/>
            <w:noWrap w:val="0"/>
            <w:vAlign w:val="center"/>
          </w:tcPr>
          <w:p w14:paraId="00D0A9D1">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地址：</w:t>
            </w:r>
          </w:p>
        </w:tc>
      </w:tr>
      <w:tr w14:paraId="312F1C11">
        <w:tblPrEx>
          <w:tblCellMar>
            <w:top w:w="0" w:type="dxa"/>
            <w:left w:w="108" w:type="dxa"/>
            <w:bottom w:w="0" w:type="dxa"/>
            <w:right w:w="108" w:type="dxa"/>
          </w:tblCellMar>
        </w:tblPrEx>
        <w:trPr>
          <w:trHeight w:val="569" w:hRule="exact"/>
        </w:trPr>
        <w:tc>
          <w:tcPr>
            <w:tcW w:w="4609" w:type="dxa"/>
            <w:noWrap w:val="0"/>
            <w:vAlign w:val="center"/>
          </w:tcPr>
          <w:p w14:paraId="17D3066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邮编：</w:t>
            </w:r>
          </w:p>
        </w:tc>
        <w:tc>
          <w:tcPr>
            <w:tcW w:w="4610" w:type="dxa"/>
            <w:noWrap w:val="0"/>
            <w:vAlign w:val="center"/>
          </w:tcPr>
          <w:p w14:paraId="347BB226">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邮编：</w:t>
            </w:r>
          </w:p>
        </w:tc>
      </w:tr>
      <w:tr w14:paraId="7A5FF4CC">
        <w:tblPrEx>
          <w:tblCellMar>
            <w:top w:w="0" w:type="dxa"/>
            <w:left w:w="108" w:type="dxa"/>
            <w:bottom w:w="0" w:type="dxa"/>
            <w:right w:w="108" w:type="dxa"/>
          </w:tblCellMar>
        </w:tblPrEx>
        <w:trPr>
          <w:trHeight w:val="569" w:hRule="exact"/>
        </w:trPr>
        <w:tc>
          <w:tcPr>
            <w:tcW w:w="4609" w:type="dxa"/>
            <w:noWrap w:val="0"/>
            <w:vAlign w:val="center"/>
          </w:tcPr>
          <w:p w14:paraId="1A3F9F08">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 xml:space="preserve">法定代表人： </w:t>
            </w:r>
          </w:p>
        </w:tc>
        <w:tc>
          <w:tcPr>
            <w:tcW w:w="4610" w:type="dxa"/>
            <w:noWrap w:val="0"/>
            <w:vAlign w:val="center"/>
          </w:tcPr>
          <w:p w14:paraId="3896D87D">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法定代表人：</w:t>
            </w:r>
          </w:p>
        </w:tc>
      </w:tr>
      <w:tr w14:paraId="34BC8D9D">
        <w:tblPrEx>
          <w:tblCellMar>
            <w:top w:w="0" w:type="dxa"/>
            <w:left w:w="108" w:type="dxa"/>
            <w:bottom w:w="0" w:type="dxa"/>
            <w:right w:w="108" w:type="dxa"/>
          </w:tblCellMar>
        </w:tblPrEx>
        <w:trPr>
          <w:trHeight w:val="569" w:hRule="exact"/>
        </w:trPr>
        <w:tc>
          <w:tcPr>
            <w:tcW w:w="4609" w:type="dxa"/>
            <w:noWrap w:val="0"/>
            <w:vAlign w:val="center"/>
          </w:tcPr>
          <w:p w14:paraId="20782A7C">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被授权代表：</w:t>
            </w:r>
          </w:p>
        </w:tc>
        <w:tc>
          <w:tcPr>
            <w:tcW w:w="4610" w:type="dxa"/>
            <w:noWrap w:val="0"/>
            <w:vAlign w:val="center"/>
          </w:tcPr>
          <w:p w14:paraId="354354EC">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被授权代表：</w:t>
            </w:r>
          </w:p>
        </w:tc>
      </w:tr>
      <w:tr w14:paraId="4BEF9B76">
        <w:tblPrEx>
          <w:tblCellMar>
            <w:top w:w="0" w:type="dxa"/>
            <w:left w:w="108" w:type="dxa"/>
            <w:bottom w:w="0" w:type="dxa"/>
            <w:right w:w="108" w:type="dxa"/>
          </w:tblCellMar>
        </w:tblPrEx>
        <w:trPr>
          <w:trHeight w:val="569" w:hRule="exact"/>
        </w:trPr>
        <w:tc>
          <w:tcPr>
            <w:tcW w:w="4609" w:type="dxa"/>
            <w:noWrap w:val="0"/>
            <w:vAlign w:val="center"/>
          </w:tcPr>
          <w:p w14:paraId="56057F21">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电话：</w:t>
            </w:r>
          </w:p>
        </w:tc>
        <w:tc>
          <w:tcPr>
            <w:tcW w:w="4610" w:type="dxa"/>
            <w:noWrap w:val="0"/>
            <w:vAlign w:val="center"/>
          </w:tcPr>
          <w:p w14:paraId="45ECA2A1">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电话：</w:t>
            </w:r>
          </w:p>
        </w:tc>
      </w:tr>
      <w:tr w14:paraId="7FBAC9D6">
        <w:tblPrEx>
          <w:tblCellMar>
            <w:top w:w="0" w:type="dxa"/>
            <w:left w:w="108" w:type="dxa"/>
            <w:bottom w:w="0" w:type="dxa"/>
            <w:right w:w="108" w:type="dxa"/>
          </w:tblCellMar>
        </w:tblPrEx>
        <w:trPr>
          <w:trHeight w:val="569" w:hRule="exact"/>
        </w:trPr>
        <w:tc>
          <w:tcPr>
            <w:tcW w:w="4609" w:type="dxa"/>
            <w:noWrap w:val="0"/>
            <w:vAlign w:val="center"/>
          </w:tcPr>
          <w:p w14:paraId="29475B5D">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传真：</w:t>
            </w:r>
          </w:p>
        </w:tc>
        <w:tc>
          <w:tcPr>
            <w:tcW w:w="4610" w:type="dxa"/>
            <w:noWrap w:val="0"/>
            <w:vAlign w:val="center"/>
          </w:tcPr>
          <w:p w14:paraId="2F567217">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传真：</w:t>
            </w:r>
          </w:p>
        </w:tc>
      </w:tr>
      <w:tr w14:paraId="78FA13F3">
        <w:tblPrEx>
          <w:tblCellMar>
            <w:top w:w="0" w:type="dxa"/>
            <w:left w:w="108" w:type="dxa"/>
            <w:bottom w:w="0" w:type="dxa"/>
            <w:right w:w="108" w:type="dxa"/>
          </w:tblCellMar>
        </w:tblPrEx>
        <w:trPr>
          <w:trHeight w:val="1194" w:hRule="exact"/>
        </w:trPr>
        <w:tc>
          <w:tcPr>
            <w:tcW w:w="4609" w:type="dxa"/>
            <w:noWrap w:val="0"/>
            <w:vAlign w:val="center"/>
          </w:tcPr>
          <w:p w14:paraId="06DCECBD">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p>
          <w:p w14:paraId="1A219D11">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银行账号：</w:t>
            </w:r>
          </w:p>
        </w:tc>
        <w:tc>
          <w:tcPr>
            <w:tcW w:w="4610" w:type="dxa"/>
            <w:noWrap w:val="0"/>
            <w:vAlign w:val="center"/>
          </w:tcPr>
          <w:p w14:paraId="20C009A0">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开户银行：</w:t>
            </w:r>
          </w:p>
          <w:p w14:paraId="7865C384">
            <w:pPr>
              <w:autoSpaceDE w:val="0"/>
              <w:autoSpaceDN w:val="0"/>
              <w:adjustRightInd w:val="0"/>
              <w:spacing w:line="360" w:lineRule="auto"/>
              <w:ind w:firstLine="480" w:firstLineChars="200"/>
              <w:rPr>
                <w:rFonts w:hint="eastAsia" w:ascii="宋体" w:hAnsi="宋体" w:cs="宋体"/>
                <w:color w:val="auto"/>
                <w:highlight w:val="none"/>
              </w:rPr>
            </w:pPr>
            <w:r>
              <w:rPr>
                <w:rFonts w:hint="eastAsia" w:ascii="宋体" w:hAnsi="宋体" w:cs="宋体"/>
                <w:bCs/>
                <w:color w:val="auto"/>
                <w:sz w:val="24"/>
                <w:highlight w:val="none"/>
              </w:rPr>
              <w:t>银行账号：</w:t>
            </w:r>
          </w:p>
        </w:tc>
      </w:tr>
      <w:tr w14:paraId="24271645">
        <w:tblPrEx>
          <w:tblCellMar>
            <w:top w:w="0" w:type="dxa"/>
            <w:left w:w="108" w:type="dxa"/>
            <w:bottom w:w="0" w:type="dxa"/>
            <w:right w:w="108" w:type="dxa"/>
          </w:tblCellMar>
        </w:tblPrEx>
        <w:trPr>
          <w:trHeight w:val="569" w:hRule="exact"/>
        </w:trPr>
        <w:tc>
          <w:tcPr>
            <w:tcW w:w="4609" w:type="dxa"/>
            <w:noWrap w:val="0"/>
            <w:vAlign w:val="center"/>
          </w:tcPr>
          <w:p w14:paraId="04299DD0">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日期：</w:t>
            </w:r>
          </w:p>
        </w:tc>
        <w:tc>
          <w:tcPr>
            <w:tcW w:w="4610" w:type="dxa"/>
            <w:noWrap w:val="0"/>
            <w:vAlign w:val="center"/>
          </w:tcPr>
          <w:p w14:paraId="1EDCC541">
            <w:pPr>
              <w:autoSpaceDE w:val="0"/>
              <w:autoSpaceDN w:val="0"/>
              <w:adjustRightInd w:val="0"/>
              <w:spacing w:line="360" w:lineRule="auto"/>
              <w:ind w:firstLine="480" w:firstLineChars="200"/>
              <w:rPr>
                <w:rFonts w:hint="eastAsia" w:ascii="宋体" w:hAnsi="宋体" w:cs="宋体"/>
                <w:bCs/>
                <w:color w:val="auto"/>
                <w:sz w:val="24"/>
                <w:highlight w:val="none"/>
              </w:rPr>
            </w:pPr>
            <w:r>
              <w:rPr>
                <w:rFonts w:hint="eastAsia" w:ascii="宋体" w:hAnsi="宋体" w:cs="宋体"/>
                <w:bCs/>
                <w:color w:val="auto"/>
                <w:sz w:val="24"/>
                <w:highlight w:val="none"/>
              </w:rPr>
              <w:t>日期：</w:t>
            </w:r>
          </w:p>
        </w:tc>
      </w:tr>
    </w:tbl>
    <w:p w14:paraId="1520A8D7">
      <w:pPr>
        <w:pStyle w:val="3"/>
        <w:ind w:firstLine="0"/>
        <w:rPr>
          <w:rFonts w:hint="eastAsia" w:ascii="宋体" w:hAnsi="宋体" w:cs="宋体"/>
          <w:color w:val="auto"/>
          <w:highlight w:val="none"/>
        </w:rPr>
      </w:pPr>
    </w:p>
    <w:p w14:paraId="75EF3086">
      <w:pPr>
        <w:spacing w:line="360" w:lineRule="auto"/>
        <w:rPr>
          <w:rFonts w:hint="eastAsia" w:ascii="宋体" w:hAnsi="宋体" w:cs="宋体"/>
          <w:bCs/>
          <w:color w:val="auto"/>
          <w:sz w:val="24"/>
          <w:highlight w:val="none"/>
        </w:rPr>
      </w:pPr>
      <w:r>
        <w:rPr>
          <w:rFonts w:hint="eastAsia" w:ascii="宋体" w:hAnsi="宋体" w:cs="宋体"/>
          <w:bCs/>
          <w:color w:val="auto"/>
          <w:sz w:val="24"/>
          <w:highlight w:val="none"/>
        </w:rPr>
        <w:t>备注：合同模板仅供参考，具体以实际签订合同为准。</w:t>
      </w:r>
    </w:p>
    <w:p w14:paraId="66219F4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F77EC8"/>
    <w:rsid w:val="17C80EE1"/>
    <w:rsid w:val="227F11F4"/>
    <w:rsid w:val="6EF77E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pPr>
      <w:spacing w:after="120"/>
    </w:pPr>
  </w:style>
  <w:style w:type="paragraph" w:styleId="3">
    <w:name w:val="Normal Indent"/>
    <w:basedOn w:val="1"/>
    <w:qFormat/>
    <w:uiPriority w:val="0"/>
    <w:pPr>
      <w:ind w:firstLine="420"/>
    </w:pPr>
    <w:rPr>
      <w:szCs w:val="20"/>
    </w:rPr>
  </w:style>
  <w:style w:type="paragraph" w:styleId="4">
    <w:name w:val="footer"/>
    <w:basedOn w:val="1"/>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2391</Words>
  <Characters>2431</Characters>
  <Lines>0</Lines>
  <Paragraphs>0</Paragraphs>
  <TotalTime>8</TotalTime>
  <ScaleCrop>false</ScaleCrop>
  <LinksUpToDate>false</LinksUpToDate>
  <CharactersWithSpaces>2531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2025-10-10T01:21:00Z</dcterms:created>
  <dc:creator>Administrator</dc:creator>
  <cp:lastModifiedBy>Administrator</cp:lastModifiedBy>
  <dcterms:modified xsi:type="dcterms:W3CDTF">2025-10-21T07:39:00Z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CCCFA8091CFF452DA2EDA1E4ADF9095F_11</vt:lpwstr>
  </property>
  <property fmtid="{D5CDD505-2E9C-101B-9397-08002B2CF9AE}" pid="4" name="KSOTemplateDocerSaveRecord">
    <vt:lpwstr>eyJoZGlkIjoiNWVmYzc1MGFhYWY5MDBhMTVhZjE1OTlhNjAyOGE5NTYiLCJ1c2VySWQiOiIxNjU5MzY2NDA1In0=</vt:lpwstr>
  </property>
</Properties>
</file>