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版本号：SCZA2025-CS-2707-00120251022001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服务器安全防护与办公网安全监测服务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SCZA2025-CS-2707-001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服务器安全防护与办公网安全监测服务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SCZA2025-CS-2707-001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服务器安全防护与办公网安全监测服务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服务器安全防护与办公网安全监测服务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采购包1（服务器安全防护与办公网安全监测服务项目）：属于专门面向小微企业采购。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”网站（www.creditchina.gov.cn）和中国政 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冶伟雄、白国锋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银行账号：102461558343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服务费由采购人与采购代理机构约定：参照《国家计委关于印发&lt;招标代理服务收费管理暂行办法&gt;的通知》（计价格[2002]1980号）规定标准收取，不足4000元按4000元收取。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地址：西安市高新区锦业路1号都市之门C座九层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服务器安全防护与办公网安全监测服务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采购服务器安全防护与办公网安全监测服务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标的名称：采购服务器安全防护与办公网安全监测服务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both"/>
            </w:pPr>
            <w:r>
              <w:rPr>
                <w:rFonts w:ascii="仿宋_GB2312" w:hAnsi="仿宋_GB2312" w:cs="仿宋_GB2312" w:eastAsia="仿宋_GB2312"/>
              </w:rPr>
              <w:t>一、项目概述</w:t>
            </w:r>
          </w:p>
          <w:p>
            <w:pPr>
              <w:pStyle w:val="null3"/>
            </w:pPr>
            <w:r>
              <w:rPr>
                <w:rFonts w:ascii="仿宋_GB2312" w:hAnsi="仿宋_GB2312" w:cs="仿宋_GB2312" w:eastAsia="仿宋_GB2312"/>
              </w:rPr>
              <w:t>依据省委网信办《贯彻落实全省网络安全和信息化工作会议精神的若干措施的通知》（网办发〔2024〕11号）中“提高网络安全态势感知和应急处置能力，常态化开展风险监测、预警通报和应急演习”的要求，需强化网络安全防护措施。</w:t>
            </w:r>
          </w:p>
          <w:p>
            <w:pPr>
              <w:pStyle w:val="null3"/>
            </w:pPr>
            <w:r>
              <w:rPr>
                <w:rFonts w:ascii="仿宋_GB2312" w:hAnsi="仿宋_GB2312" w:cs="仿宋_GB2312" w:eastAsia="仿宋_GB2312"/>
              </w:rPr>
              <w:t>根据目前厅内业务情况及网络防护情况，针对主要业务系统部署的服务器进行安全防护加固，通过部署专业的安全防护软件，提供系统文件防篡改、防勒索、系统内核加固及异常行为实时告警等核心防护能力。针对办公区的工作终端进行安全监测，通过部署网络攻击监测设备，采用虚拟探针技术实现办公区全部网段覆盖，实时监测并预警病毒传播、木马攻击、横向渗透、APT攻击等恶意行为，提升办公网络安全防护水平。</w:t>
            </w:r>
          </w:p>
          <w:p>
            <w:pPr>
              <w:pStyle w:val="null3"/>
            </w:pPr>
            <w:r>
              <w:rPr>
                <w:rFonts w:ascii="仿宋_GB2312" w:hAnsi="仿宋_GB2312" w:cs="仿宋_GB2312" w:eastAsia="仿宋_GB2312"/>
              </w:rPr>
              <w:t>二、项目内容</w:t>
            </w:r>
          </w:p>
          <w:p>
            <w:pPr>
              <w:pStyle w:val="null3"/>
            </w:pPr>
            <w:r>
              <w:rPr>
                <w:rFonts w:ascii="仿宋_GB2312" w:hAnsi="仿宋_GB2312" w:cs="仿宋_GB2312" w:eastAsia="仿宋_GB2312"/>
              </w:rPr>
              <w:t>（一）服务器安全防护</w:t>
            </w:r>
          </w:p>
          <w:p>
            <w:pPr>
              <w:pStyle w:val="null3"/>
            </w:pPr>
            <w:r>
              <w:rPr>
                <w:rFonts w:ascii="仿宋_GB2312" w:hAnsi="仿宋_GB2312" w:cs="仿宋_GB2312" w:eastAsia="仿宋_GB2312"/>
              </w:rPr>
              <w:t>（1）覆盖范围</w:t>
            </w:r>
          </w:p>
          <w:p>
            <w:pPr>
              <w:pStyle w:val="null3"/>
            </w:pPr>
            <w:r>
              <w:rPr>
                <w:rFonts w:ascii="仿宋_GB2312" w:hAnsi="仿宋_GB2312" w:cs="仿宋_GB2312" w:eastAsia="仿宋_GB2312"/>
              </w:rPr>
              <w:t>互联网区与政务外网区共计不少于100台重要业务系统服务器部署安全防护系统。</w:t>
            </w:r>
          </w:p>
          <w:p>
            <w:pPr>
              <w:pStyle w:val="null3"/>
            </w:pPr>
            <w:r>
              <w:rPr>
                <w:rFonts w:ascii="仿宋_GB2312" w:hAnsi="仿宋_GB2312" w:cs="仿宋_GB2312" w:eastAsia="仿宋_GB2312"/>
              </w:rPr>
              <w:t>（2）主要内容</w:t>
            </w:r>
          </w:p>
          <w:p>
            <w:pPr>
              <w:pStyle w:val="null3"/>
            </w:pPr>
            <w:r>
              <w:rPr>
                <w:rFonts w:ascii="仿宋_GB2312" w:hAnsi="仿宋_GB2312" w:cs="仿宋_GB2312" w:eastAsia="仿宋_GB2312"/>
              </w:rPr>
              <w:t>通过部署服务器安全防护系统，以深入识别攻击行为，并通过链式防御机制对服务器实施智能协同防御。</w:t>
            </w:r>
          </w:p>
          <w:p>
            <w:pPr>
              <w:pStyle w:val="null3"/>
            </w:pPr>
            <w:r>
              <w:rPr>
                <w:rFonts w:ascii="仿宋_GB2312" w:hAnsi="仿宋_GB2312" w:cs="仿宋_GB2312" w:eastAsia="仿宋_GB2312"/>
              </w:rPr>
              <w:t>服务器安全防护需求如下：</w:t>
            </w:r>
          </w:p>
          <w:p>
            <w:pPr>
              <w:pStyle w:val="null3"/>
            </w:pPr>
            <w:r>
              <w:rPr>
                <w:rFonts w:ascii="仿宋_GB2312" w:hAnsi="仿宋_GB2312" w:cs="仿宋_GB2312" w:eastAsia="仿宋_GB2312"/>
              </w:rPr>
              <w:t>1.采用文件驱动，在受保护的目录中，对所有的文件进行了严格的保护。任何企图修改文件、删除文件的行为都是无法实施的。对于用户正常的更新，可以通过对进程进行放行处理，在达到等同于网页防篡改的效果的同时还完全不影响用户的正常操作。</w:t>
            </w:r>
          </w:p>
          <w:p>
            <w:pPr>
              <w:pStyle w:val="null3"/>
            </w:pPr>
            <w:r>
              <w:rPr>
                <w:rFonts w:ascii="仿宋_GB2312" w:hAnsi="仿宋_GB2312" w:cs="仿宋_GB2312" w:eastAsia="仿宋_GB2312"/>
              </w:rPr>
              <w:t>2.采用驱动实时拦截方式，根据设定的拦截规则对进程、文件、目录的相关操作进行拦截检查，以防止发生文件被加密勒索的可能。</w:t>
            </w:r>
          </w:p>
          <w:p>
            <w:pPr>
              <w:pStyle w:val="null3"/>
            </w:pPr>
            <w:r>
              <w:rPr>
                <w:rFonts w:ascii="仿宋_GB2312" w:hAnsi="仿宋_GB2312" w:cs="仿宋_GB2312" w:eastAsia="仿宋_GB2312"/>
              </w:rPr>
              <w:t>3.：对常见的、容易被攻击者利用、存在风险的应用进行加固保护，并进行部分限制，使其在不影响正常功能的条件下防止被攻击者利用。</w:t>
            </w:r>
          </w:p>
          <w:p>
            <w:pPr>
              <w:pStyle w:val="null3"/>
            </w:pPr>
            <w:r>
              <w:rPr>
                <w:rFonts w:ascii="仿宋_GB2312" w:hAnsi="仿宋_GB2312" w:cs="仿宋_GB2312" w:eastAsia="仿宋_GB2312"/>
              </w:rPr>
              <w:t>4.对服务器内非法程序发起向外部的连接比如反弹shell、远控木马监测，实时收集进程的连接情况。</w:t>
            </w:r>
          </w:p>
          <w:p>
            <w:pPr>
              <w:pStyle w:val="null3"/>
            </w:pPr>
            <w:r>
              <w:rPr>
                <w:rFonts w:ascii="仿宋_GB2312" w:hAnsi="仿宋_GB2312" w:cs="仿宋_GB2312" w:eastAsia="仿宋_GB2312"/>
              </w:rPr>
              <w:t>5.提供统一管理平台对服务器进行集中管理和风险展示。</w:t>
            </w:r>
          </w:p>
          <w:p>
            <w:pPr>
              <w:pStyle w:val="null3"/>
            </w:pPr>
            <w:r>
              <w:rPr>
                <w:rFonts w:ascii="仿宋_GB2312" w:hAnsi="仿宋_GB2312" w:cs="仿宋_GB2312" w:eastAsia="仿宋_GB2312"/>
              </w:rPr>
              <w:t>6.网络安全工程师每月对务器安全防护系统风险告警进行现场分析研判，对于异常情况迅速采取处置措施。</w:t>
            </w:r>
          </w:p>
          <w:p>
            <w:pPr>
              <w:pStyle w:val="null3"/>
            </w:pPr>
            <w:r>
              <w:rPr>
                <w:rFonts w:ascii="仿宋_GB2312" w:hAnsi="仿宋_GB2312" w:cs="仿宋_GB2312" w:eastAsia="仿宋_GB2312"/>
              </w:rPr>
              <w:t>（二）办公区攻击监测</w:t>
            </w:r>
          </w:p>
          <w:p>
            <w:pPr>
              <w:pStyle w:val="null3"/>
            </w:pPr>
            <w:r>
              <w:rPr>
                <w:rFonts w:ascii="仿宋_GB2312" w:hAnsi="仿宋_GB2312" w:cs="仿宋_GB2312" w:eastAsia="仿宋_GB2312"/>
              </w:rPr>
              <w:t>（1）覆盖范围</w:t>
            </w:r>
          </w:p>
          <w:p>
            <w:pPr>
              <w:pStyle w:val="null3"/>
            </w:pPr>
            <w:r>
              <w:rPr>
                <w:rFonts w:ascii="仿宋_GB2312" w:hAnsi="仿宋_GB2312" w:cs="仿宋_GB2312" w:eastAsia="仿宋_GB2312"/>
              </w:rPr>
              <w:t>办公区（非涉密）的所有IP网段。</w:t>
            </w:r>
          </w:p>
          <w:p>
            <w:pPr>
              <w:pStyle w:val="null3"/>
            </w:pPr>
            <w:r>
              <w:rPr>
                <w:rFonts w:ascii="仿宋_GB2312" w:hAnsi="仿宋_GB2312" w:cs="仿宋_GB2312" w:eastAsia="仿宋_GB2312"/>
              </w:rPr>
              <w:t>（2）主要内容</w:t>
            </w:r>
          </w:p>
          <w:p>
            <w:pPr>
              <w:pStyle w:val="null3"/>
            </w:pPr>
            <w:r>
              <w:rPr>
                <w:rFonts w:ascii="仿宋_GB2312" w:hAnsi="仿宋_GB2312" w:cs="仿宋_GB2312" w:eastAsia="仿宋_GB2312"/>
              </w:rPr>
              <w:t>对本地网络进行攻击威胁监测服务，检测本地是否存在攻击威胁，如多种威胁如病毒传播、木马攻击、横向渗透、APT攻击等恶意行为。对于监测的攻击行为，结合行为分析、异常检测和规则匹配等多种方法进行威胁分析，对分析结果进行告警通知，并通过统一管理平台进行集中管理和展示，以防止攻击进一步扩散，保护网络的安全稳定。</w:t>
            </w:r>
          </w:p>
          <w:p>
            <w:pPr>
              <w:pStyle w:val="null3"/>
            </w:pPr>
            <w:r>
              <w:rPr>
                <w:rFonts w:ascii="仿宋_GB2312" w:hAnsi="仿宋_GB2312" w:cs="仿宋_GB2312" w:eastAsia="仿宋_GB2312"/>
              </w:rPr>
              <w:t>攻击监测需求如下：</w:t>
            </w:r>
          </w:p>
          <w:p>
            <w:pPr>
              <w:pStyle w:val="null3"/>
            </w:pPr>
            <w:r>
              <w:rPr>
                <w:rFonts w:ascii="仿宋_GB2312" w:hAnsi="仿宋_GB2312" w:cs="仿宋_GB2312" w:eastAsia="仿宋_GB2312"/>
              </w:rPr>
              <w:t>1.实时监测本地网络活动，捕捉到微触碰探测行为，进行分析研判，确定其来源、目的和潜在威胁，及时向管理员发出告警，提供详细信息。</w:t>
            </w:r>
          </w:p>
          <w:p>
            <w:pPr>
              <w:pStyle w:val="null3"/>
            </w:pPr>
            <w:r>
              <w:rPr>
                <w:rFonts w:ascii="仿宋_GB2312" w:hAnsi="仿宋_GB2312" w:cs="仿宋_GB2312" w:eastAsia="仿宋_GB2312"/>
              </w:rPr>
              <w:t>2.实时监测网络行为，一旦发现有端口扫描的迹象，迅速捕捉并识别，立即进行分析，确定扫描的来源、目标和意图，及时向管理员发出告警，提供详细的扫描信息。</w:t>
            </w:r>
          </w:p>
          <w:p>
            <w:pPr>
              <w:pStyle w:val="null3"/>
            </w:pPr>
            <w:r>
              <w:rPr>
                <w:rFonts w:ascii="仿宋_GB2312" w:hAnsi="仿宋_GB2312" w:cs="仿宋_GB2312" w:eastAsia="仿宋_GB2312"/>
              </w:rPr>
              <w:t>3.实时监测登录活动，一旦检测到频繁的口令尝试或异常的登录模式，迅速识别并判断，立即进行分析，确定攻击的来源和目标账号，及时向管理员发出告警，提供详细的爆破信息。</w:t>
            </w:r>
          </w:p>
          <w:p>
            <w:pPr>
              <w:pStyle w:val="null3"/>
            </w:pPr>
            <w:r>
              <w:rPr>
                <w:rFonts w:ascii="仿宋_GB2312" w:hAnsi="仿宋_GB2312" w:cs="仿宋_GB2312" w:eastAsia="仿宋_GB2312"/>
              </w:rPr>
              <w:t>4.实时监测网络活动，识别出异常的网络流量、数据包或系统行为，一旦捕捉到漏洞攻击行为，立即启动分析机制，确定攻击的来源、目标漏洞以及可能造成的影响，及时向管理员发出告警，提供详细的攻击信息。</w:t>
            </w:r>
          </w:p>
          <w:p>
            <w:pPr>
              <w:pStyle w:val="null3"/>
            </w:pPr>
            <w:r>
              <w:rPr>
                <w:rFonts w:ascii="仿宋_GB2312" w:hAnsi="仿宋_GB2312" w:cs="仿宋_GB2312" w:eastAsia="仿宋_GB2312"/>
              </w:rPr>
              <w:t>5.利用先进的数据分析算法，对捕捉到的各种威胁行为数据进行深入挖掘和分析。可以自动识别威胁行为的模式、特征和趋势，快速判断威胁的类型、严重程度和潜在影响，能够准确地研判威胁行为的来源、目的和攻击路径，为管理员提供全面的威胁情报和决策支持。</w:t>
            </w:r>
          </w:p>
          <w:p>
            <w:pPr>
              <w:pStyle w:val="null3"/>
            </w:pPr>
            <w:r>
              <w:rPr>
                <w:rFonts w:ascii="仿宋_GB2312" w:hAnsi="仿宋_GB2312" w:cs="仿宋_GB2312" w:eastAsia="仿宋_GB2312"/>
              </w:rPr>
              <w:t>6.提供统一管理平台对威胁捕获终端进行集中管理和风险展示。</w:t>
            </w:r>
          </w:p>
          <w:p>
            <w:pPr>
              <w:pStyle w:val="null3"/>
            </w:pPr>
            <w:r>
              <w:rPr>
                <w:rFonts w:ascii="仿宋_GB2312" w:hAnsi="仿宋_GB2312" w:cs="仿宋_GB2312" w:eastAsia="仿宋_GB2312"/>
              </w:rPr>
              <w:t>7.网络安全工程师每月对攻击监测系统风险告警进行现场分析研判，对于异常情况迅速采取处置措施。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合同签订后，在甲方同意进场实施后的90个自然日内交付。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项目完成并终验后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商务应答表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服务器安全防护方案</w:t>
            </w:r>
          </w:p>
        </w:tc>
        <w:tc>
          <w:tcPr>
            <w:tcW w:type="dxa" w:w="2492"/>
          </w:tcPr>
          <w:p>
            <w:pPr>
              <w:pStyle w:val="null3"/>
            </w:pPr>
            <w:r>
              <w:rPr>
                <w:rFonts w:ascii="仿宋_GB2312" w:hAnsi="仿宋_GB2312" w:cs="仿宋_GB2312" w:eastAsia="仿宋_GB2312"/>
              </w:rPr>
              <w:t>供应商根据本项目实际需求情况，对服务器安全防护方案等内容进行详细描述。方案总体设计合理、完整、针对性强得10分；方案总体设计合理、完整、针对性一般得7分；方案简略得4分；未提供不得分。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办公网安全监测方案</w:t>
            </w:r>
          </w:p>
        </w:tc>
        <w:tc>
          <w:tcPr>
            <w:tcW w:type="dxa" w:w="2492"/>
          </w:tcPr>
          <w:p>
            <w:pPr>
              <w:pStyle w:val="null3"/>
            </w:pPr>
            <w:r>
              <w:rPr>
                <w:rFonts w:ascii="仿宋_GB2312" w:hAnsi="仿宋_GB2312" w:cs="仿宋_GB2312" w:eastAsia="仿宋_GB2312"/>
              </w:rPr>
              <w:t>供应商根据本项目实际需求情况，对办公网安全监测方案等内容进行详细描述。方案总体设计合理、完整、针对性强得10分；方案总体设计合理、完整、针对性一般得7分；方案简略得4分；未提供不得分。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根据本项目实际需求情况，对本项目进行全面、准确、细致的需求分析：充分理解用户需求，需求分析全面透彻，重难点分析合理，目标明确，得10分；基本理解用户需求，需求分析全面、重难点分析较合理，目标较明确，得7分；基本理解用户需求，需求分析不够全面、重难点分析不准确，目标不够明确，得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供应商提供进度计划情况，实施组织计划周期和进度表安排合理，项目特点突出、切实可行得10分；实施组织计划安排较合理详细、较为可行得7分；实施组织计划安排简单、可行性欠缺得4分。未提供不计分。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有严格的项目质量管理，过程控制及监控手段，能确保技术人员按照相应的操作指导规范实施测评，形成完善的质量保证管理体系。质量保障措施内容全面、措施有力，服务质量方面能够得到有效的保证得10分；质量保障措施描述较为全面详细得7分；质量保障措施较为简略得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应提供详细的售后服务方案、（有效服务体系、服务范围、服务承诺以及故障解决方案、响应时间、应急处理方案、专业技术人员保障、售后服务电话等）根据自身服务能力给出。根据各供应商提供的资料，从全面性、可操作性等进行打分，方案合理、可行、全面得10分；方案基本合理可行，但内容不全得7分；方案较为简略得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投标人针对本项目服务需求提供不少于6人的安全服务团队，其中至少包含1名项目负责人、5名安全服务团队成员。 1、项目负责人须具有5年及以上网络安全服务类项目负责人经验（提供相关证明文件），且具备CISP证书、CISAW证书、PMP证书、CZTP证书、数据安全工程师、网络安全架构师、高级网络信息安全工程师资质证书、渗透测试工程师的，每具备一项得1分，满分3分。未提供不得分。 2、安全服务团队人员至少5名，团队人员具备CISP证书、CISAW证书、PMP证书、CZTP证书、数据安全工程师、网络安全架构师、高级网络信息安全工程师资质证书、渗透测试工程师的，每具备一项得1分，同一人具备多项的计2分；满分7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1、供应商具有信息安全风险评估认证证书(CCRC),得2分； 2、供应商具有ISO/IEC27001信息安全管理体系认证证书，得2分； 3、供应商具有ISO9001质量认证体系认证证书，得2分； 4、供应商具有相关网络安全产品计算机软件著作权登记证书，每提供一个得1分，满分4分。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2022年1月1日（含）至今，供应商具有已完成的类似项目业绩，每提供一份业绩得2分，最高得10分。（以中标通知书或合同签订时间为准）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满足竞争性磋商文件要求且最终报价价格最低的报价为评标基准价，其价格分为满分。其他供应商的价格分统一按照下列公式计算：价格分=(评标基准价／招标报价)×10注：计算分数时四舍五入取小数点后两位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