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版本号：JXRC-25081020251022001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工业互联网标识解析系列算法与模型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JXRC-250810</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工业互联网标识解析系列算法与模型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JXRC-250810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工业互联网标识解析系列算法与模型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旨在采购“工业互联网标识解析系列算法与模型”，以支撑数字工品质量评价数据挖掘和基于数字标识的产业链环节评估。通过引入先进的算法与模型，旨在提升⼯业互联网平台的数据分析能力、质量评价的智能化水平以及产业链韧性监测的精准度与实时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投标人应提供相关文件证明。</w:t>
      </w:r>
    </w:p>
    <w:p>
      <w:pPr>
        <w:pStyle w:val="null3"/>
      </w:pPr>
      <w:r>
        <w:rPr>
          <w:rFonts w:ascii="仿宋_GB2312" w:hAnsi="仿宋_GB2312" w:cs="仿宋_GB2312" w:eastAsia="仿宋_GB2312"/>
        </w:rPr>
        <w:t>5、社保缴纳证明：提供自2025年4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投标人应提供相关文件证明。</w:t>
      </w:r>
    </w:p>
    <w:p>
      <w:pPr>
        <w:pStyle w:val="null3"/>
      </w:pPr>
      <w:r>
        <w:rPr>
          <w:rFonts w:ascii="仿宋_GB2312" w:hAnsi="仿宋_GB2312" w:cs="仿宋_GB2312" w:eastAsia="仿宋_GB2312"/>
        </w:rPr>
        <w:t>5、社保缴纳证明：提供自2025年4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采购包1：1,190,000.00元</w:t>
            </w:r>
          </w:p>
          <w:p>
            <w:pPr>
              <w:pStyle w:val="null3"/>
            </w:pPr>
            <w:r>
              <w:rPr>
                <w:rFonts w:ascii="仿宋_GB2312" w:hAnsi="仿宋_GB2312" w:cs="仿宋_GB2312" w:eastAsia="仿宋_GB2312"/>
              </w:rPr>
              <w:t>采购包2：1,510,000.00元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代理服务费收费标准：参照《国家计委关于印发&lt;招标代理服务收费管理暂行办法&gt;的通知》（计价格【2002】1980号）报价依据的85%计费标准向中标人/成交人收取。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采购“工业互联网标识解析系列算法与模型”，以支撑数字工品质量评价数据挖掘和基于数字标识的产业链环节评估。通过引入先进的算法与模型，旨在提升工业互联网平台的数据分析能力、质量评价的智能化水平以及产业链韧性监测的精准度与实时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1,190,000.00</w:t>
      </w:r>
    </w:p>
    <w:p>
      <w:pPr>
        <w:pStyle w:val="null3"/>
      </w:pPr>
      <w:r>
        <w:rPr>
          <w:rFonts w:ascii="仿宋_GB2312" w:hAnsi="仿宋_GB2312" w:cs="仿宋_GB2312" w:eastAsia="仿宋_GB2312"/>
        </w:rPr>
        <w:t>采购包最高限价（元）: 1,190,000.00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语义化机器学习模型及工具;面向数字工品的标识数据同步与监管系统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数字工品质量评价数据挖掘算法与模型；基于数字标识的产业链环节评估算法与工具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标的名称：语义化机器学习模型及工具;面向数字工品的标识数据同步与监管系统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一、总体功能指标 1.1、语义化机器学习模型及工具支撑软件 多源异构标识数据处理：实现数据预处理、语义理解、特征提取、模式识别及语义融合。 模型训练与评估：支持模型训练、评估、推理及预测功能。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 面向数字工品的标识数据同步与监管系统支撑软件 标识注册与管理：完成多源异构标识的注册、解析及动态更新。 数据同步与分发：构建分布式解析网络，实现低延迟数据同步与跨域分发。 安全与监管功能：包含安全与隐私保护、解析监控管理、日志管理、发码及终端用户服务。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1.3核心能力要求 数据整合：消除多源数据格式及语义差异，构建统一表征。 时空语义建模：解析数据时空关联性，支持动态场景语义推理。 智能分析预测：通过机器学习挖掘潜在模式，生成可解释性预测结果。 安全管控：集成加密传输、权限分级及审计追溯，保障数据隐私与系统稳定性。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二、总体技术指标 2.1 开发语言与接口 系统采用多语言协同开发架构，核心模块遵循“算法层灵活高效、服务层稳定可靠”原则： 算法开发：Python 3.10：集成 TensorFlow 2.13 与 PyTorch 2.1 框架，支持分布式训练（Horovod）与模型压缩（TensorRT），适配自然语言处理、计算机视觉等场景。C++ 20：基于 Eclipse CDT 开发，通过 pybind11 实现与 Python 高效交互，负责底层矩阵运算（如 OpenBLAS 加速）、数据加密（AES-256）及网络通信（asio 库）。 服务端架构：Java 17 + Spring Boot 3.1：构建 RESTful API 网关，基于 Spring Cloud Stream 实现消息驱动，接口响应时间 99%分位值≤200ms。OpenAPI 3.0 规范：提供交互式接口文档（Swagger UI），支持 JSON/Protobuf 双格式，数据传输压缩率≥70%。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2.2 内存管理与计算加速 2.2.1 内存优化技术 C++ 场景：采用 Google tcmalloc 内存分配器，通过线程本地缓存（Thread-Caching）减少锁竞争，内存分配延迟降低至 10ns 级，碎片率≤5%。基于 RAII 机制管理资源生命周期，结合智能指针（std::shared_ptr）实现零内存泄漏。 Python 场景：通过objgraph可视化对象引用链，配合weakref.finalize实现延迟清理；采用__slots__减少类实例内存占用，平均节省 40% 空间。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2.2.2 异构计算架构 CUDA 加速栈：支持 NVIDIA A100/H100 GPU，集成 CUDA Graphs 实现计算流程固化，推理速度提升 40%；利用 Multi-Process Service（MPS）支持多进程共享 GPU 显存。8 卡 A100 集群下，PyTorch 分布式训练（NCCL 2.18）通信带宽达 1.5TB/s，模型训练时间较无CUDA 加速栈缩短不少于60%。 CANN 加速栈：适配昇腾 910B 芯片，通过 ACL 接口调用 CANN 算子库，语义解析任务推理延迟≤45ms，单位算力功耗降低 60%。</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2.3 数据库与存储架构 2.3.1 湖仓一体架构设计 数据湖层： 基于 Apache Hudi 0.13 构建增量数据湖，支持 COW（Copy-On-Write）与 MOR（Merge-On-Read）存储模式，数据压缩比达 1:8（Snappy 算法）。 通过 Trino 405 实现跨源查询，支持 Hive/HBase/MySQL 联合查询，复杂 SQL（如多表 JOIN）响应时间≤3 秒。 数据仓库层： 分析型数据库采用 ClickHouse 23.3，基于 MergeTree 引擎实现千亿级数据秒级聚合，QPS 峰值达 10 万次。 事务型数据库使用 MySQL 8.1，按业务垂直分库（标识库、质量库、产业链库），单库水平分表（哈希分表 + Range 分表），单表数据量控制在 500 万条，写入 TPS 稳定在 2500。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2.3.2 数据治理能力 元数据管理：基于 Apache Atlas 构建元数据中心，自动采集 Hive/MySQL 等数据源的表结构、字段描述，支持数据血缘可视化（DAG 图展示）。 数据质量：通过 Apache Griffin 定义规则（如唯一性校验、值域校验），缺失率≤0.1%、错误率≤0.05%，异常数据触发 Kafka 告警。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2.4 网络通信与安全 2.4.1 通信架构 内部服务：采用 gRPC 1.54 通信，基于 HTTP/2 协议实现多路复用，单连接延迟≤10ms，吞吐量达 10 万 RPC / 秒。 外部接口：RESTful API 基于 Spring Cloud Gateway 3.1 实现，支持限流（令牌桶算法，峰值 QPS≤5000）、熔断（Hystrix 兼容模式）。</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2.4.2 安全防护体系 认证授权：OAuth 2.0+JWT 实现用户认证，令牌有效期≤15 分钟；RBAC 角色权限细化至接口级别，权限变更实时生效。 数据加密： 传输层：TLS 1.3 + 国密 SM4 混合加密，密钥更新周期≤7 天。 存储层：数据库透明加密（TDE）+ 字段级加密（AES-GCM），敏感数据（如企业地址）模糊化处理覆盖率 100%。 安全运营：部署 WAF 防火墙（抵御 OWASP Top 10 攻击）、IDS 入侵检测（Suricata 规则库），漏洞扫描与代码审计频率≥每月 1 次。</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2.5 扩展技术支持 2.5.1 边缘计算协同 基于 KubeEdge 1.13 构建云边一体化架构，边缘节点部署轻量级容器（Runc），运行 TinyYOLOv3 模型（模型体积≤10MB），设备异常检测延迟≤500ms。 采用 Delta Sync 机制实现边缘与云端数据同步，仅传输变更数据块，带宽占用降低 80%。</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2.5.2 容器化与 DevOps 容器编排：Kubernetes 1.27 集群支持自动扩缩容（HPA+VPA），Pod 启动延迟≤3 秒，服务恢复时间≤5 分钟。 镜像构建：使用 Buildah 1.29 替代 Docker，镜像体积缩小 40%，构建速度提升 30%；集成 Tekton 实现 CI/CD 流水线自动化。</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三、数据中台技术要求 3.1 数据治理体系 3.1.1 元数据管理 支持自动采集 Hive、HBase、MySQL等10+数据源元数据，覆盖率 100%；通过 UI 界面可视化展示数据血缘关系（如字段来源表、加工逻辑）。 元数据更新延迟≤1小时，支持版本管理（可回溯至前30天历史版本）。</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3.1.2 主数据管理 建立产品、企业、供应商三大主数据实体，定义唯一标识符（如产品ID采用UUID v5），数据一致性≥99.9%。 主数据审核流程支持多级审批（三级审批权限，如提交→初审→终审），变更记录可追溯。</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3.2 数据交换规范 3.2.1 多协议支持 实时接口：Kafka 3.4 消息队列，单主题吞吐量≥10MB/s，消息延迟≤50ms；gRPC 接口支持流式传输（如实时设备数据上报）。 批量接口：FTP/SFTP 文件传输，支持断点续传，日均处理文件量≥10 万份；ETL 工具（Apache NiFi）支持复杂数据转换流程编排。</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3.2.2 安全交换机制 数据沙箱基于 Apache Ranger 实现细粒度权限控制，支持按字段设置访问权限（如隐藏供应商联系方式）。 同步链路采用 “源端加密→传输加密→目标端解密” 模式，敏感数据字段加密率 100%。</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四、数字工品语义化机器学习模块 4.1 多模态数据预处理 4.1.1 文本数据处理 命名实体识别（NER）：基于 spaCy 3.7 模型，准确率≥92%，支持自定义实体类型（如 “产品型号”“生产标准”）。 语义向量化：TF-IDF+Word2Vec 生成 200 维词向量，余弦相似度计算误差≤0.05，支持行业术语表（如机械制造领域词库）导入。</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4.1.2 图像数据处理 目标检测：YOLOv5s 模型（640×640 输入）检测准确率≥95%，推理速度≥30FPS；支持动态阈值调整（如低光照环境提高检测阈值）。 特征提取：ResNet50 输出 2048 维特征向量，通过对比学习（Contrastive Loss）实现跨模态对齐，图像 - 文本语义匹配准确率≥90%。</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4.2 模型训练与推理优化 4.2.1 训练效率提升 分布式训练：PyTorch DDP 模式支持 8 卡同步训练，通信效率≥90%；混合精度训练（FP16+BF16）减少显存占用 50%，训练速度提升 2 倍。 模型压缩：采用 TensorRT 8.6 对 PyTorch 模型进行优化，参数压缩比达 4:1，推理延迟降低 60%。</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4.2.2 推理服务能力 服务部署：基于 TorchServe 实现模型服务化，支持动态负载均衡，单实例吞吐量≥1000req/s。 边缘推理：TinyBERT 模型（参数规模≤100MB）部署于边缘节点，设备日志语义解析延迟≤200ms。</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五、标识数据同步与监管系统 5.1 标识全生命周期管理 5.1.1 编码规则设计 采用 “urn: [行业代码]:[体系代码]:[原标识]”三段式编码，兼容 Handle、Ecode、GS1 等标准，编码冲突率≤0.001%。 支持自定义扩展字段（如 “生产批次”“地域代码”），扩展字段长度≤32 位。</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5.1.2 分布式解析架构 基于 DHT（Chord 协议）构建解析网络，节点自组织能力≥99%；Redis 7.0 缓存热点标识（TTL≤24 小时），命中率≥90%，解析延迟≤50ms。 支持批量解析（单次请求≤1000 条标识），响应时间≤200ms。</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5.2 监管与可信机制 5.2.1 实时监控体系 监控指标：涵盖标识注册量（日均≥10 万条）、解析成功率（≥99%）、节点 CPU 利用率（≤80%）等 20 + 指标，通过 Prometheus 采集，Grafana 可视化延迟≤10 秒。 告警策略：支持多级告警（预警→严重→故障），通过邮件 / SMS 通知，响应时间≤30 秒。</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5.2.2 区块链存证 基于 Hyperledger Fabric 2.5 构建联盟链，标识注册 / 变更记录上链延迟≤2 秒，数据不可篡改率 100%。 国密算法应用：SM2 签名算法（密钥长度 256 位）、SM3 哈希算法（输出长度 256 位），符合 GM/T 0034-2014 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标的名称：数字工品质量评价数据挖掘算法与模型；基于数字标识的产业链环节评估算法与工具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一、总体功能指标 1.1 采购内容 1.1.1. 数字工品质量评价数据挖掘算法与模型支撑软件 支持质量信息数据库数据字段建设。 支持质量信息数据库行业分类管理。 支持质量信息数据库数据深度挖掘。 支持质量评价成熟度因子管理。 支持质量评价报告生成。</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1.1.2. 基于数字标识的产业链环节评估算法与工具支撑软件 实现产业链韧性指数高置信算法。 实现产业链韧性指数监测模块植入贯通支撑平台。 支持多条产业标识参数接入，实现多条产业链韧性指数实时显示。</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 主要功能或目标 1.2.1. 数字工品质量评价方面： 数据标准化：构建统一的质量信息数据库字段与行业分类体系，支持多源异构数据的整合。 深度挖掘能力：通过算法挖掘质量数据中的关键因子，动态管理质量评价成熟度模型。 智能化输出：自动生成结构化质量评价报告，提供可落地的改进建议。</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1.2.2. 产业链环节评估方面： 算法精准化：构建高置信度韧性指数模型，支持多维度参数融合分析与动态优化。 平台集成化：将监测模块无缝植入现有产业链支撑平台，实现数据贯通与可视化展示。 实时响应能力：支持≥5条产业链标识参数并行接入，实现秒级数据更新与风险预警。</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二、总体技术指标 2.1 开发语言与接口 系统采用多语言协同开发架构： 算法开发：Python 3.10：集成 TensorFlow 2.13 与 PyTorch 2.1 框架，支持分布式训练（Horovod）与模型压缩（TensorRT），适配自然语言处理、计算机视觉等场景。C++ 20：基于 Eclipse CDT 开发，通过 pybind11 实现与 Python 高效交互，负责底层矩阵运算（如 OpenBLAS 加速）、数据加密（AES-256）及网络通信（asio 库）。 服务端架构：Java 17 + Spring Boot 3.1：构建 RESTful API 网关，基于 Spring Cloud Stream 实现消息驱动，接口响应时间 99% 分位值≤200ms。OpenAPI 3.0 规范：提供交互式接口文档（Swagger UI），支持 JSON/Protobuf 双格式，数据传输压缩率≥70%。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2.2 内存管理与计算加速 2.2.1 内存优化技术 C++ 场景：采用 Google tcmalloc 内存分配器，通过线程本地缓存（Thread-Caching）减少锁竞争，内存分配延迟降低至 10ns 级，碎片率≤5%。基于 RAII 机制管理资源生命周期，结合智能指针（std::shared_ptr）实现零内存泄漏。 Python 场景：通过objgraph可视化对象引用链，配合weakref.finalize实现延迟清理；采用__slots__减少类实例内存占用，使用内存优化技术后较优化前空间节省率≥40%。</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2.2.2 异构计算架构 CUDA 加速栈：支持 NVIDIA A100/H100 GPU，集成 CUDA Graphs 实现计算流程固化，推理速度提升 40%；利用 Multi-Process Service（MPS）支持多进程共享 GPU 显存。8 卡 A100 集群下，PyTorch 分布式训练（NCCL 2.18）通信带宽达 1.5TB/s，模型训练时间缩短 60%。 CANN 加速栈：适配昇腾 910B 芯片，通过 ACL 接口调用 CANN 算子库，语义解析任务推理延迟≤45ms，单位算力功耗较未使用CANN 加速栈前降低不少于60%。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2.3 数据库与存储架构 2.3.1 湖仓一体架构设计 数据湖层： 基于 Apache Hudi 0.13 构建增量数据湖，支持 COW（Copy-On-Write）与 MOR（Merge-On-Read）存储模式，数据压缩比达 1:8（Snappy 算法）。 通过 Trino 405 实现跨源查询，支持 Hive/HBase/MySQL 联合查询，复杂 SQL（如多表 JOIN）响应时间≤3 秒。 数据仓库层： 分析型数据库采用 ClickHouse 23.3，基于 MergeTree 引擎实现千亿级数据秒级聚合，QPS 峰值达 10 万次。 事务型数据库使用 MySQL 8.1，按业务垂直分库（标识库、质量库、产业链库），单库水平分表（哈希分表 + Range 分表），单表数据量控制在 500 万条，写入 TPS 稳定在 2500。</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2.3.2 数据治理能力 元数据管理：基于 Apache Atlas 构建元数据中心，自动采集 Hive/MySQL 等数据源的表结构、字段描述，支持数据血缘可视化（DAG 图展示）。 数据质量：通过 Apache Griffin 定义规则（如唯一性校验、值域校验），缺失率≤0.1%、错误率≤0.05%，异常数据触发 Kafka 告警。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2.4 网络通信与安全 2.4.1 通信架构 内部服务：采用 gRPC 1.54 通信，基于 HTTP/2 协议实现多路复用，单连接延迟≤10ms，吞吐量达 10 万 RPC / 秒。 外部接口：RESTful API 基于 Spring Cloud Gateway 3.1 实现，支持限流（令牌桶算法，峰值 QPS≤5000）、熔断（Hystrix 兼容模式）。</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2.4.2 安全防护体系 认证授权：OAuth 2.0+JWT 实现用户认证，令牌有效期≤15 分钟；RBAC 角色权限细化至接口级别，权限变更实时生效。 数据加密： 传输层：TLS 1.3 + 国密 SM4 混合加密，密钥更新周期≤7 天。 存储层：数据库透明加密（TDE）+ 字段级加密（AES-GCM），敏感数据（如企业地址）模糊化处理覆盖率 100%。 安全运营：部署 WAF 防火墙（抵御 OWASP Top 10 攻击）、IDS 入侵检测（Suricata 规则库），漏洞扫描与代码审计频率≥每月 1 次。</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2.5 扩展技术支持 2.5.1 边缘计算协同 基于 KubeEdge 1.13 构建云边一体化架构，边缘节点部署轻量级容器（Runc），运行 TinyYOLOv3 模型（模型体积≤10MB），设备异常检测延迟≤500ms。 采用 Delta Sync 机制实现边缘与云端数据同步，仅传输变更数据块，带宽占用降低 80%。</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2.5.2 容器化与 DevOps 容器编排：Kubernetes 1.27 集群支持自动扩缩容（HPA+VPA），Pod 启动延迟≤3 秒，服务恢复时间≤5 分钟。 镜像构建：使用 Buildah 1.29 替代 Docker，镜像体积缩小 40%，构建速度提升 30%；集成 Tekton 实现 CI/CD 流水线自动化。</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三、数据中台技术要求 3.1 数据治理体系 3.1.1 元数据管理 支持自动采集 Hive、HBase、MySQL 等 10 + 数据源元数据，覆盖率 100%；通过 UI 界面可视化展示数据血缘关系（如字段来源表、加工逻辑）。 元数据更新延迟≤1 小时，支持版本管理（可回溯至前 30 天历史版本）。</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3.1.2主数据管理 建立产品、企业、供应商三大主数据实体，定义唯一标识符（如产品 ID 采用 UUID v5），数据一致性≥99.9%。 主数据审核流程支持多级审批（提交→初审→终审），变更记录可追溯。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3.2 数据交换规范 3.2.1 多协议支持 实时接口：Kafka 3.4 消息队列，单主题吞吐量≥10MB/s，消息延迟≤50ms；gRPC 接口支持流式传输（如实时设备数据上报）。 批量接口：FTP/SFTP 文件传输，支持断点续传，日均处理文件量≥10 万份；ETL 工具（Apache NiFi）支持复杂数据转换流程编排。</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3.2.2 安全交换机制 数据沙箱基于 Apache Ranger 实现细粒度权限控制，支持按字段设置访问权限（如隐藏供应商联系方式）。 同步链路采用 “源端加密→传输加密→目标端解密” 模式，敏感数据字段加密率 100%。</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四、数字工品质量评价模型 系统应支持多源数据融合挖掘，能够实时接入企业多源数据，并进行高效的清洗加载。应支持特征工程，能够自动筛选重要特征，并进行特征重要性排序。系统应构建完善的评价体系，包括定量指标和定性指标，并能通过模型进行性能评估，支持预测结果的解释。</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4.1 多源数据融合挖掘 数据整合：通过 Kafka Connect 实时接入企业 ERP（如 SAP）、LIMS（实验室信息系统）数据，完整率≥95%，T+1 小时内完成清洗加载。 特征工程：LightGBM 自动筛选重要特征（如 “设备故障率”“客户投诉率”），特征重要性排序准确率≥90%。</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4.2 评价体系构建 指标体系： 定量指标（功能占比70%）≥20项，主要为国家工业和信息化部14条重点产业链相关通用指标，如尺寸精度（公差 ±0.01mm）、化学成分（偏差≤0.5%）。 定性指标（功能占比 30%）≥16项：通过专家打分法评估工艺先进性、环保合规性等。 模型性能：LightGBM 模型在医疗装备数据集上 AUC≥0.95，F1-score≥0.92，支持 SHAP 值解释预测结果。</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五、产业链环节评估算法 系统应支持韧性指数建模，能够从多个维度进行评估，并采用优化算法优化指数权重，支持重点产业链的实时监测。系统应支持风险传导与应对，能够构建产业链图谱，进行多级传导路径分析，并能通过算法生成风险应对策略，提供策略推荐和快速响应能力。</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5.1 韧性指数建模 评估维度： 供应稳定性：指标≥6项，需包含原材料交付周期波动率（目标≤5%）、供应商集中度（CR3≤60%）。 生产协同性：指标大于等于8项，需包含订单响应速度（≤48 小时）、设备联网率（≥80%）。 算法优化：采用 PPO 强化学习算法优化指数权重，预测误差率≤5%，支持国家工业和信息化部14条重点产业链质量体系、韧性体系实时监测。</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5.2 风险传导与应对 知识图谱：基于 Neo4j 5.1 构建产业链图谱，节点数≥10 万，边数≥50 万，支持 “供应商→制造商→分销商” 三级传导路径分析，预测准确率≥85%。 策略生成：通过 GNN（图神经网络）生成风险应对策略，如 “备选供应商切换”“安全库存提升”，策略推荐准确率≥80%，响应时间≤1 小时。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合同签订后120日内完成交货，供应商自报最短交货期。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合同签订后120日内完成交货，供应商自报最短交货期。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合同签订后，收到中标人开具的合同总价款30%的增值税专用发票后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乙方提供模型基本框架和核心算法经甲方确认后，收到中标人开具的合同总价款的20%增值税专用发票后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项目整体验收合格后，收到中标人开具的合同总价款的50%增值税专用发票后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合同签订后，收到中标人开具的合同总价款30%的增值税专用发票后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乙方提供模型基本框架和核心算法经甲方确认后，收到中标人开具的合同总价款的20%增值税专用发票后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项目整体验收合格后，收到中标人开具的合同总价款的50%增值税专用发票后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 由采购人组织成立验收专家组，负责先期基础性工作，检查项目开发、文档资料等情况，提出验收评价意见和建议。 2、验收流程 验收申请：系统部署上线完成后，供应商检验和测试系统，确认是否符合采购人目标与要求。 系统初验：代码部署、调试达到技术要求指标后进行初验，采购人根据合同及采购需求和有关规定测试，若软件系统不满足要求，供应商在指定时间内改进，采购⼈有权在合同余款中扣除损失，不足部分供应商补足。 系统终验：系统试运行无故障后进行终验，供应商提供验收相关材料，验收专家组对材料、平台功能、性能等验收，验收不合格的供应商在指定时间内整改，验收通过后专家组形成验收报告，采购人和供应商签署最终验收文件，延迟移交造成的损失由供应商负责。 3、验收材料 包括需求规格说明书、概要设计说明书、详细设计说明书、测试方案、测试报告、部署方案、系统使用手册、系统维护手册、培训计划和培训资料、项目验收报告、可执行程序等。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 由采购人组织成立验收专家组，负责先期基础性工作，检查项目开发、文档资料等情况，提出验收评价意见和建议。 2、验收流程 验收申请：系统部署上线完成后，供应商检验和测试系统，确认是否符合采购人目标与要求。 系统初验：代码部署、调试达到技术要求指标后进行初验，采购人根据合同及采购需求和有关规定测试，若软件系统不满足要求，供应商在指定时间内改进，采购⼈有权在合同余款中扣除损失，不足部分供应商补足。 系统终验：系统试运行无故障后进行终验，供应商提供验收相关材料，验收专家组对材料、平台功能、性能等验收，验收不合格的供应商在指定时间内整改，验收通过后专家组形成验收报告，采购人和供应商签署最终验收文件，延迟移交造成的损失由供应商负责。 3、验收材料 包括需求规格说明书、概要设计说明书、详细设计说明书、测试方案、测试报告、部署方案、系统使用手册、系统维护手册、培训计划和培训资料、项目验收报告、可执行程序等。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自项目验收合格之日起1年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因为不可抗拒的因素致使合同不能履行的，或有违约争议，双方协商解决，协商不成，可依法向采购人所在地人民法院提起诉讼。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因为不可抗拒的因素致使合同不能履行的，或有违约争议，双方协商解决，协商不成，可依法向采购人所在地人民法院提起诉讼。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1、知识产权归属 供应商⾃有的知识产权不转移，双⽅遵守知识产权及软件版权保护法律法规，在约定范围内使⽤。 项⽬成果（包括新设计理念、系统架构、软件成果及源代码、技术资料与⽂档等）归采购⼈所有，采购⼈拥有⾃主市场推⼴及⼤规模应⽤的权⼒。 未经采购⼈书⾯同意，投标⼈不得擅⾃使⽤、复制项⽬成果及采购⼈既有成果、标志、数据信息、⽂档等资料。 投标⼈保证为本项⽬安装的软件符合中国境内法律法规要求，确保提供的软件及服务不侵犯第三⽅知识产权，否则承担采购⼈的⼀切损失。 2、售后服务要求 2.1售后服务期限为⾃项⽬验收合格之⽇起1年。 2.2售后服务内容包括： 2.2.1.电话咨询：供应商必须为采购⼈提供技术援助电话，提供7×24⼩时响应服务，解答采购⼈在系统使⽤中遇到的问题，及时提出解决问题的建议和操作⽅法。 2.2.2.及时响应：提供7×24⼩时技术⽀持服务，指定相对固定的技术负责⼈及联络电话、传真、E-mail等；在发现故障时，必须能够到达现场的时间⼩于48⼩时；重要时刻到达现场时间⼩于24⼩时；故障诊断时间⼩于24⼩时，并提供远程故障解决⽅案；应急处置时间⼩于12⼩时。 2.2.3.系统升级与维护：供应商应当为项⽬提供最优的技术⽀持与维护服务，以保证系统的正常运⾏，并按季度形成运维服务报告。 提供系统运⾏软件技术服务，包括但不限于应⽤程序问题处理、新版本发布。 对系统进⾏周期性运维，保障系统的平稳运⾏，同时做好周期性维护⼯作，包括定期（每周、每⽉、每季度）对数据库进⾏维护（扩充表空间，⽇志清理、增加下⼀年度分区表等）。 ⽇常维护，包括但不限于主数据维护、业务数据维护、系统⽤户新增及维护、⽤户权限新增及维护、⽇常问题处理等。其他⽀持，包括业务指导、服务接⼊维护。 3、培训要求 供应商安排经验丰富的培训⼈员，为系统使⽤⼈员免费提供系统配置、开发、使⽤和维护等⽅⾯的培训，培训次数和地点根据甲⽅需求安排。 提供详细的培训⽅案，包括培训组织机构、培训内容、培训⼤纲、培训计划、培训对象等，并详细说明。 负责提供培训所需计划和资料、培训教材格式（⽤户操作⼿册、培训PPT），培训语⾔和教材为中⽂，确保采购⼈员经培训后能够熟练使⽤系统。 4、驻场基本要求 系统集成及安装调试要求 目标：保证项目按计划完成，系统稳定上线并投入运行，确保上线后系统的可用性和安全性达标。 要求：驻场期不少于六个月，至项目竣工验收，需包含且不限于项目经理，技术负责人、测试负责人、培训负责人、运维团队等人员项目到岗。 5、投标人可同时参加多个标段的投标，只能中标一个标段。 本项目按招标公告内的标段顺序依次评审；前面标段排名第一的候选人不再参加后面标段的评审，以此类推。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提供自2025年4月1日以来至少一个月已缴纳的社会保障资金的证明（社会保障资金缴存单据或社保机构开具的社会保险参保缴费情况证明等)；依法不需要缴纳社会保障资金的投标人应提供相关证明文件。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提供自2025年4月1日以来至少一个月已缴纳的社会保障资金的证明（社会保障资金缴存单据或社保机构开具的社会保险参保缴费情况证明等)；依法不需要缴纳社会保障资金的投标人应提供相关证明文件。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企业关联关系声明函 其他材料 投标函 投标人资格 残疾人福利性单位声明函 标的清单 投标人业绩 投标文件封面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企业关联关系声明函 其他材料 投标函 投标人资格 残疾人福利性单位声明函 标的清单 投标人业绩 投标文件封面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投标产品的技术指标和性能完全满足招标文件要求，得30分。 1.标注 “▲”(3项，共9分)为重要技术指标，不作为废标项但需提供相关证明材料，不满足每项扣3分。备注：投标人应提供充足的佐证材料(佐证材料包括但不限于认证证书、包含技术参数截图的测试报告等技术内容证明文件)予以佐证。投标人自行承担因证明材料不全而被视为技术参数偏离的风险。 2.非“▲”项技术指标(21项，共21分)，每负偏离一项扣1分。漏报内容视为不满足。备注:投标人可以尽可能多的提供佐证材料(佐证材料包括但不限于参数界面截图、认证证书、测试报告等技术内容证明文件)予以佐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投标人针对本项目提供完整的项目实施计划方案，内容包括但不限于①项目实施进度、计划；②项目实施方案；③项目保障措施计划；④验收方案等进行比较后综合打分。 1.方案详细可行，针对性强，进度控制准确，效率高，验收方案切实可行得8分。 2.方案详细可行，针对性一般，进度控制准确、验收方案基本可行得6分。 3.方案基本可行，针对性一般，进度控制、验收方案基本可行得4分。 4.方案较差但有一定可行性得2分。 5.方案不合理，内容与本项目不相关或未提供不得分。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投标人针对本项目提供完整的技术方案，内容包括但不限于①技术路线、开发方案及系统架构；②软件、硬件安装调试及试运行等进行比较后综合打分。 1.技术方案设计全面、合理，方案与本项目的需求相吻合且具有针对性和可行性的得3分。 2.技术方案设计基本符合实际需求、合理性一般，与本项目的采购需求较吻合且针对性和可行性一般的得2分。 3.技术方案与本项目的采购需求较有偏差但具有可行性的得1分。 4.技术方案不合理，内容与本项目不相关或未提供不得分。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投标人针对本项目特点提供服务团队人员配置，内容包含但不限于①人员配置清单；②岗位分工、职责等进行比较后综合打分。 提供相关证明资料（包括但不限于人员姓名、工作职务、身份证、工作经验，相关证书等）。 1.人员配置合理，岗位职责、分工明确，相关证明资料齐全得5分； 2.人员配置基本合理，岗位职责、分工明确，相关证明资料基本齐全得3分； 3. 人员配置基本合理，岗位职责、分工较差得1分；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投标人针对本项目提供项目管理质量保证方案：内容包括但不限于①质量保证组织架构及质量目标策划、监控；②质量控制措施、数据分析及风险应对措施等进行比较后综合打分。 1.质量保证方案全面、合理，方案与本项目的需求相吻合且具有针对性和可行性的得3分。 2. 质量保证方案基本符合实际需求、合理性一般，与本项目的采购需求较吻合且针对性和可行性一般的得2分。 3. 质量保证方案与本项目的采购需求较有偏差但具有可行性的得1分。 4. 质量保证方案不合理，内容与本项目不相关或未提供不得分。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在满足1年的基础上，每增加半年得0.5分，最多得1分。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但不限于①售后服务承诺（故障响应时间及维修时限）、售后服务人员资质及安排；②应急预案（项目实施及维护过程中处理突发事件时的应急预案、补救措施）等进行比较后综合打分。 1.方案详细可行，针对性强得3分。 2.方案基本可行，针对性一般得2分。 3.方案较差但有一定可行性得1分。 4.方案不合理，内容与本项目不相关或未提供不得分。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投标人针对本项目提供培训方案，确保使用人员能够独立操作，并进行简单故障排查处理。内容包含但不限于①培训方案及培训计划；②培训的具体内容及方式、培训时间和次数，按响应程度综合打分 1.方案详细可行，针对性强得3分。 2.方案基本可行，针对性一般得1分。 3.方案不合理，内容与本项目不相关或未提供不得分。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每提供1个与本次采购内容所涉及产品或功能相关的计算机软件著作权证书得2分，最高得4分，不提供不得分。（投标文件中提供复印件加盖投标人公章否则不得分）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提供所投产品厂商或投标人同类项目业绩（2022年10月1日至今，以合同签订时间为准），投标文件中提供合同复印件加盖公章，每提供一个计2分，满分10分。 注：提供的合同复印件至少包含首页、反映采购内容页、签字盖章、合同签署时间信息等内容。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 xml:space="preserve"> 投标产品的技术指标和性能完全满足招标文件要求，得31分。 1.标注 “▲”(4项，共12分)为重要技术指标，不作为废标项但需提供相关证明材料，不满足每项扣3分。备注：投标人应提供充足的佐证材料（佐证材料包括但不限于参数界面截图、认证证书、测试报告等技术内容证明文件）予以佐证。投标人自行承担因证明材料不全而被视为技术参数偏离的风险。 2.非“▲”项技术指标(19项，共19分)，每负偏离一项扣1分。漏报内容视为不满足。备注:投标人可以尽可能多的提供佐证材料(佐证材料包括但不限于参数界面截图、认证证书、测试报告等技术内容证明文件)予以佐证。</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投标人针对本项目提供完整的项目实施计划方案，内容包括但不限于①项目实施进度、计划；②项目实施方案；③项目保障措施计划；④验收方案等进行比较后综合评审。 1.方案详细可行，针对性强，进度控制准确，效率高，验收方案切实可行得7分。 2.方案详细可行，针对性一般，进度控制准确、验收方案基本可行得5分。 3.方案基本可行，针对性一般，进度控制、验收方案基本可行得3分。 4.方案较差但有一定可行性得1分。 5.方案不合理，内容与本项目不相关或未提供不得分。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投标人针对本项目提供完整的技术方案，内容包括但不限于①技术路线、开发方案及系统架构；②软件、硬件安装调试及试运行等进行比较后综合评审。 1.技术方案设计全面、合理，方案与本项目的需求相吻合且具有针对性和可行性的得3分。 2.技术方案设计基本符合实际需求、合理性一般，与本项目的采购需求较吻合且针对性和可行性一般的得2分。 3.技术方案与本项目的采购需求较有偏差但具有可行性的得1分。 4.技术方案不合理，内容与本项目不相关或未提供不得分。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投标人针对本项目特点提供服务团队人员配置，内容包含但不限于①人员配置清单；②岗位分工、职责进行比较后综合打分。 提供相关证明资料（包括但不限于人员姓名、工作职务、身份证、工作经验，相关证书等）。 1.人员配置合理，岗位职责、分工明确，相关证明资料齐全得5分； 2.人员配置基本合理，岗位职责、分工明确，相关证明资料基本齐全得3分； 3. 人员配置基本合理，岗位职责、分工较差得1分；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投标人针对本项目提供项目管理质量保证方案：内容包括但不限于①质量保证组织架构及质量目标策划、监控；②质量控制措施、数据分析及风险应对措施等进行比较后综合打分。 1.质量保证方案全面、合理，方案与本项目的需求相吻合且具有针对性和可行性的得3分。 2. 质量保证方案基本符合实际需求、合理性一般，与本项目的采购需求较吻合且针对性和可行性一般的得2分。 3. 质量保证方案与本项目的采购需求较有偏差但具有可行性的得1分。 4. 质量保证方案不合理，内容与本项目不相关或未提供不得分。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在满足1年的基础上，每增加半年得0.5分，最多得1分。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根据项目实际需求提供售后服务方案。内容包含但不限于①售后服务承诺（故障响应时间及维修时限）、售后服务人员资质及安排；②应急预案（项目实施及维护过程中处理突发事件时的应急预案、补救措施）。 1.方案详细可行，针对性强得3分。 2.方案基本可行，针对性一般得2分。 3.方案较差但有一定可行性得1分。 4.方案不合理，内容与本项目不相关或未提供不得分。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投标人针对本项目提供培训方案，确保使用人员能够独立操作，并进行简单故障排查处理。内容包含但不限于①培训方案及培训计划；②培训的具体内容及方式、培训时间和次数。 1.方案详细可行，针对性强得3分。 2.方案基本可行，针对性一般得1分。 3.方案不合理，内容与本项目不相关或未提供不得分。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每提供1个与本次采购内容所涉及产品或功能相关的计算机软件著作权证书得2分，最高得4分，不提供不得分。（投标文件中提供复印件加盖投标人公章否则不得分）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提供所投产品厂商或投标人同类项目业绩（2022年10月1日至今，以合同签订时间为准），投标文件中提供合同复印件加盖公章，每提供一个计2分，满分10分。 注：提供的合同复印件至少包含首页、反映采购内容页、签字盖章、合同签署时间信息等内容。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详见附件：投标人资格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