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版本号：ZX2025-09-5320251023001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离子抛光仪采购项目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ZX2025-09-53</w:t>
      </w:r>
      <w:r>
        <w:br/>
      </w:r>
      <w:r>
        <w:br/>
      </w:r>
      <w:r>
        <w:br/>
      </w:r>
      <w:r>
        <w:br/>
      </w:r>
      <w:r>
        <w:br/>
      </w:r>
    </w:p>
    <w:p>
      <w:pPr>
        <w:pStyle w:val="null3"/>
        <w:jc w:val="center"/>
        <w:outlineLvl w:val="5"/>
      </w:pPr>
      <w:r>
        <w:rPr>
          <w:rFonts w:ascii="仿宋_GB2312" w:hAnsi="仿宋_GB2312" w:cs="仿宋_GB2312" w:eastAsia="仿宋_GB2312"/>
          <w:sz w:val="15"/>
          <w:b/>
        </w:rPr>
        <w:t>西北大学</w:t>
      </w:r>
    </w:p>
    <w:p>
      <w:pPr>
        <w:pStyle w:val="null3"/>
        <w:jc w:val="center"/>
        <w:outlineLvl w:val="5"/>
      </w:pPr>
      <w:r>
        <w:rPr>
          <w:rFonts w:ascii="仿宋_GB2312" w:hAnsi="仿宋_GB2312" w:cs="仿宋_GB2312" w:eastAsia="仿宋_GB2312"/>
          <w:sz w:val="15"/>
          <w:b/>
        </w:rPr>
        <w:t>陕西正信招标有限公司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2025年10月23日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离子抛光仪采购项目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ZX2025-09-53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离子抛光仪采购项目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本次拟采购离子抛光仪主要用于制备扫描电镜分析样品的表面抛光处理，获得一个无损伤的平整面，避免地外样品在前处理抛磨过程中造成样品的微观组织破坏和磨料污染现象，使样品更加适合于扫描电子显微镜和背散射电子衍射分析。</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1、法定代表人授权委托书：法定代表人参加协商的，须提供法定代表人身份证；法定代表人授权本单位他人参加协商的，须提供法定代表人授权委托书及被授权人身份证。</w:t>
      </w:r>
    </w:p>
    <w:p>
      <w:pPr>
        <w:pStyle w:val="null3"/>
      </w:pPr>
      <w:r>
        <w:rPr>
          <w:rFonts w:ascii="仿宋_GB2312" w:hAnsi="仿宋_GB2312" w:cs="仿宋_GB2312" w:eastAsia="仿宋_GB2312"/>
        </w:rPr>
        <w:t>2、本项目不接受联合体投标，不允许分包：本项目不接受联合体投标，不允许分包。供应商应提供《非联合体不分包投标声明》。</w:t>
      </w:r>
    </w:p>
    <w:p>
      <w:pPr>
        <w:pStyle w:val="null3"/>
      </w:pPr>
      <w:r>
        <w:rPr>
          <w:rFonts w:ascii="仿宋_GB2312" w:hAnsi="仿宋_GB2312" w:cs="仿宋_GB2312" w:eastAsia="仿宋_GB2312"/>
        </w:rPr>
        <w:t>3、进口产品：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西安市长安区郭杜教育科技产业区学府大道1号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祁鑫 张爽 马演 曹婷 王宇轩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采购包1保证金金额：20,953.00元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说明：1.合同签订前缴纳，缴纳金额为合同金额的5%， 缴纳方式：银行转账、支票/汇票/本票、保函/保险 。 2.转账账号：西北大学；611301015018001145006；交通银行太白路支行。转账金额到账后，可持银行回执到西北大学国有资产管理处换取收据。待合同执行完毕、项目验收合格后凭验收单和缴款收据，合同履约保证金予以退还。 3.除不可抗力原因外，如遇下列情况之一者，采购人有权不予退还投标人所缴纳的合同履约保证金，作为对采购人的赔偿： （1）合同签订后不能按合同时限要求供货或安装调试； （2）所供货物不合格、与合同不符； （3）不能按合同履约； （4）货物验收不合格。</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代理服务费收费标准：参照国家计委计价格[2002]1980号及发改办价格[2003]857号通知规定下浮20%，由成交供应商支付代理服务费。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本次拟采购离子抛光仪主要用于制备扫描电镜分析样品的表面抛光处理，获得一个无损伤的平整面，避免地外样品在前处理抛磨过程中造成样品的微观组织破坏和磨料污染现象，使样品更加适合于扫描电子显微镜和背散射电子衍射分析。</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离子抛光仪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标的名称：离子抛光仪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采购清单</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设备名称</w:t>
                  </w:r>
                </w:p>
              </w:tc>
              <w:tc>
                <w:tcPr>
                  <w:tcW w:type="dxa" w:w="1276"/>
                </w:tcPr>
                <w:p>
                  <w:pPr>
                    <w:pStyle w:val="null3"/>
                  </w:pPr>
                  <w:r>
                    <w:rPr>
                      <w:rFonts w:ascii="仿宋_GB2312" w:hAnsi="仿宋_GB2312" w:cs="仿宋_GB2312" w:eastAsia="仿宋_GB2312"/>
                    </w:rPr>
                    <w:t>数量</w:t>
                  </w:r>
                </w:p>
              </w:tc>
            </w:tr>
            <w:tr>
              <w:tc>
                <w:tcPr>
                  <w:tcW w:type="dxa" w:w="1276"/>
                </w:tcPr>
                <w:p>
                  <w:pPr>
                    <w:pStyle w:val="null3"/>
                  </w:pPr>
                  <w:r>
                    <w:rPr>
                      <w:rFonts w:ascii="仿宋_GB2312" w:hAnsi="仿宋_GB2312" w:cs="仿宋_GB2312" w:eastAsia="仿宋_GB2312"/>
                    </w:rPr>
                    <w:t>离子抛光仪</w:t>
                  </w:r>
                </w:p>
              </w:tc>
              <w:tc>
                <w:tcPr>
                  <w:tcW w:type="dxa" w:w="1276"/>
                </w:tcPr>
                <w:p>
                  <w:pPr>
                    <w:pStyle w:val="null3"/>
                  </w:pPr>
                  <w:r>
                    <w:rPr>
                      <w:rFonts w:ascii="仿宋_GB2312" w:hAnsi="仿宋_GB2312" w:cs="仿宋_GB2312" w:eastAsia="仿宋_GB2312"/>
                    </w:rPr>
                    <w:t>1套</w:t>
                  </w:r>
                </w:p>
              </w:tc>
            </w:tr>
          </w:tbl>
          <w:p>
            <w:pPr>
              <w:pStyle w:val="null3"/>
            </w:pPr>
            <w:r>
              <w:rPr>
                <w:rFonts w:ascii="仿宋_GB2312" w:hAnsi="仿宋_GB2312" w:cs="仿宋_GB2312" w:eastAsia="仿宋_GB2312"/>
              </w:rPr>
              <w:t>1.技术参数指标：</w:t>
            </w:r>
          </w:p>
          <w:p>
            <w:pPr>
              <w:pStyle w:val="null3"/>
            </w:pPr>
            <w:r>
              <w:rPr>
                <w:rFonts w:ascii="仿宋_GB2312" w:hAnsi="仿宋_GB2312" w:cs="仿宋_GB2312" w:eastAsia="仿宋_GB2312"/>
              </w:rPr>
              <w:t>1）离子枪数量：同时可安装离子枪数量3把</w:t>
            </w:r>
          </w:p>
          <w:p>
            <w:pPr>
              <w:pStyle w:val="null3"/>
            </w:pPr>
            <w:r>
              <w:rPr>
                <w:rFonts w:ascii="仿宋_GB2312" w:hAnsi="仿宋_GB2312" w:cs="仿宋_GB2312" w:eastAsia="仿宋_GB2312"/>
              </w:rPr>
              <w:t>2）离子枪类型：非聚焦型离子枪</w:t>
            </w:r>
          </w:p>
          <w:p>
            <w:pPr>
              <w:pStyle w:val="null3"/>
            </w:pPr>
            <w:r>
              <w:rPr>
                <w:rFonts w:ascii="仿宋_GB2312" w:hAnsi="仿宋_GB2312" w:cs="仿宋_GB2312" w:eastAsia="仿宋_GB2312"/>
              </w:rPr>
              <w:t>3）离子枪电压至少覆盖：1kV-10kV</w:t>
            </w:r>
          </w:p>
          <w:p>
            <w:pPr>
              <w:pStyle w:val="null3"/>
            </w:pPr>
            <w:r>
              <w:rPr>
                <w:rFonts w:ascii="仿宋_GB2312" w:hAnsi="仿宋_GB2312" w:cs="仿宋_GB2312" w:eastAsia="仿宋_GB2312"/>
              </w:rPr>
              <w:t>4）离子枪电流至少覆盖：0.5mA-4.5mA</w:t>
            </w:r>
          </w:p>
          <w:p>
            <w:pPr>
              <w:pStyle w:val="null3"/>
            </w:pPr>
            <w:r>
              <w:rPr>
                <w:rFonts w:ascii="仿宋_GB2312" w:hAnsi="仿宋_GB2312" w:cs="仿宋_GB2312" w:eastAsia="仿宋_GB2312"/>
              </w:rPr>
              <w:t>5）离子枪控制：电源及离子源为独立控制，可任意选择离子枪工作方式</w:t>
            </w:r>
          </w:p>
          <w:p>
            <w:pPr>
              <w:pStyle w:val="null3"/>
            </w:pPr>
            <w:r>
              <w:rPr>
                <w:rFonts w:ascii="仿宋_GB2312" w:hAnsi="仿宋_GB2312" w:cs="仿宋_GB2312" w:eastAsia="仿宋_GB2312"/>
              </w:rPr>
              <w:t>6）真空单元：初级真空泵1套，次级涡轮分子泵1套，真空泵为无油真空泵，采用解耦设计，机身无震动传导。真空度≤1×10</w:t>
            </w:r>
            <w:r>
              <w:rPr>
                <w:rFonts w:ascii="仿宋_GB2312" w:hAnsi="仿宋_GB2312" w:cs="仿宋_GB2312" w:eastAsia="仿宋_GB2312"/>
                <w:vertAlign w:val="superscript"/>
              </w:rPr>
              <w:t>-7</w:t>
            </w:r>
            <w:r>
              <w:rPr>
                <w:rFonts w:ascii="仿宋_GB2312" w:hAnsi="仿宋_GB2312" w:cs="仿宋_GB2312" w:eastAsia="仿宋_GB2312"/>
              </w:rPr>
              <w:t>MPa量级</w:t>
            </w:r>
          </w:p>
          <w:p>
            <w:pPr>
              <w:pStyle w:val="null3"/>
            </w:pPr>
            <w:r>
              <w:rPr>
                <w:rFonts w:ascii="仿宋_GB2312" w:hAnsi="仿宋_GB2312" w:cs="仿宋_GB2312" w:eastAsia="仿宋_GB2312"/>
              </w:rPr>
              <w:t>2.离子束切割台技术参数要求</w:t>
            </w:r>
          </w:p>
          <w:p>
            <w:pPr>
              <w:pStyle w:val="null3"/>
            </w:pPr>
            <w:r>
              <w:rPr>
                <w:rFonts w:ascii="仿宋_GB2312" w:hAnsi="仿宋_GB2312" w:cs="仿宋_GB2312" w:eastAsia="仿宋_GB2312"/>
              </w:rPr>
              <w:t>1）最大离子束切割速率：≥250 µm/小时(Si,10 kV)</w:t>
            </w:r>
          </w:p>
          <w:p>
            <w:pPr>
              <w:pStyle w:val="null3"/>
            </w:pPr>
            <w:r>
              <w:rPr>
                <w:rFonts w:ascii="仿宋_GB2312" w:hAnsi="仿宋_GB2312" w:cs="仿宋_GB2312" w:eastAsia="仿宋_GB2312"/>
              </w:rPr>
              <w:t>2）离子束切割区域：≥4 mm×1mm</w:t>
            </w:r>
          </w:p>
          <w:p>
            <w:pPr>
              <w:pStyle w:val="null3"/>
            </w:pPr>
            <w:r>
              <w:rPr>
                <w:rFonts w:ascii="仿宋_GB2312" w:hAnsi="仿宋_GB2312" w:cs="仿宋_GB2312" w:eastAsia="仿宋_GB2312"/>
              </w:rPr>
              <w:t>3）可容纳样品尺寸：≥40 mm×40 mm×10 mm</w:t>
            </w:r>
          </w:p>
          <w:p>
            <w:pPr>
              <w:pStyle w:val="null3"/>
            </w:pPr>
            <w:r>
              <w:rPr>
                <w:rFonts w:ascii="仿宋_GB2312" w:hAnsi="仿宋_GB2312" w:cs="仿宋_GB2312" w:eastAsia="仿宋_GB2312"/>
              </w:rPr>
              <w:t>4）具备离子束刻蚀功能</w:t>
            </w:r>
          </w:p>
          <w:p>
            <w:pPr>
              <w:pStyle w:val="null3"/>
            </w:pPr>
            <w:r>
              <w:rPr>
                <w:rFonts w:ascii="仿宋_GB2312" w:hAnsi="仿宋_GB2312" w:cs="仿宋_GB2312" w:eastAsia="仿宋_GB2312"/>
              </w:rPr>
              <w:t>5）离子束切割方式：切割过程中，样品位置固定不动方式</w:t>
            </w:r>
          </w:p>
          <w:p>
            <w:pPr>
              <w:pStyle w:val="null3"/>
            </w:pPr>
            <w:r>
              <w:rPr>
                <w:rFonts w:ascii="仿宋_GB2312" w:hAnsi="仿宋_GB2312" w:cs="仿宋_GB2312" w:eastAsia="仿宋_GB2312"/>
              </w:rPr>
              <w:t>3.离子束抛光台技术参数要求</w:t>
            </w:r>
          </w:p>
          <w:p>
            <w:pPr>
              <w:pStyle w:val="null3"/>
            </w:pPr>
            <w:r>
              <w:rPr>
                <w:rFonts w:ascii="仿宋_GB2312" w:hAnsi="仿宋_GB2312" w:cs="仿宋_GB2312" w:eastAsia="仿宋_GB2312"/>
              </w:rPr>
              <w:t>1）离子束抛光模式可容纳样品尺寸：≥φ35 mm×10 mm</w:t>
            </w:r>
          </w:p>
          <w:p>
            <w:pPr>
              <w:pStyle w:val="null3"/>
            </w:pPr>
            <w:r>
              <w:rPr>
                <w:rFonts w:ascii="仿宋_GB2312" w:hAnsi="仿宋_GB2312" w:cs="仿宋_GB2312" w:eastAsia="仿宋_GB2312"/>
              </w:rPr>
              <w:t>2）离子束抛光角度：0°～30°可调</w:t>
            </w:r>
          </w:p>
          <w:p>
            <w:pPr>
              <w:pStyle w:val="null3"/>
            </w:pPr>
            <w:r>
              <w:rPr>
                <w:rFonts w:ascii="仿宋_GB2312" w:hAnsi="仿宋_GB2312" w:cs="仿宋_GB2312" w:eastAsia="仿宋_GB2312"/>
              </w:rPr>
              <w:t>3）抛光台旋转速率：高、中、低三档可调</w:t>
            </w:r>
          </w:p>
          <w:p>
            <w:pPr>
              <w:pStyle w:val="null3"/>
            </w:pPr>
            <w:r>
              <w:rPr>
                <w:rFonts w:ascii="仿宋_GB2312" w:hAnsi="仿宋_GB2312" w:cs="仿宋_GB2312" w:eastAsia="仿宋_GB2312"/>
              </w:rPr>
              <w:t>4）抛光范围：≥φ23 mm</w:t>
            </w:r>
          </w:p>
          <w:p>
            <w:pPr>
              <w:pStyle w:val="null3"/>
            </w:pPr>
            <w:r>
              <w:rPr>
                <w:rFonts w:ascii="仿宋_GB2312" w:hAnsi="仿宋_GB2312" w:cs="仿宋_GB2312" w:eastAsia="仿宋_GB2312"/>
              </w:rPr>
              <w:t>4.体式显微镜技术参数要求</w:t>
            </w:r>
          </w:p>
          <w:p>
            <w:pPr>
              <w:pStyle w:val="null3"/>
            </w:pPr>
            <w:r>
              <w:rPr>
                <w:rFonts w:ascii="仿宋_GB2312" w:hAnsi="仿宋_GB2312" w:cs="仿宋_GB2312" w:eastAsia="仿宋_GB2312"/>
              </w:rPr>
              <w:t>1）显微镜观察：配置体视显微镜，最大放大倍数≥70倍。LED 4分割照明；观察视窗带有挡板保护</w:t>
            </w:r>
          </w:p>
          <w:p>
            <w:pPr>
              <w:pStyle w:val="null3"/>
            </w:pPr>
            <w:r>
              <w:rPr>
                <w:rFonts w:ascii="仿宋_GB2312" w:hAnsi="仿宋_GB2312" w:cs="仿宋_GB2312" w:eastAsia="仿宋_GB2312"/>
              </w:rPr>
              <w:t>2）目镜筒倾斜角度：倾斜角度可调节</w:t>
            </w:r>
          </w:p>
          <w:p>
            <w:pPr>
              <w:pStyle w:val="null3"/>
            </w:pPr>
            <w:r>
              <w:rPr>
                <w:rFonts w:ascii="仿宋_GB2312" w:hAnsi="仿宋_GB2312" w:cs="仿宋_GB2312" w:eastAsia="仿宋_GB2312"/>
              </w:rPr>
              <w:t>3）操作控制：一体化彩色触摸屏控制，软件可升级</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自合同签订之日起90天内到货，30天内安装调试并交付使用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西北大学地质学系指定地点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合同生效后，由甲方通过进出口业务代理公司向乙方开出100%信用证，待货物到货、安装调试、并经学校组织验收合格后，由甲方通知进出口业务代理公司向乙方解付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自学校验收合格之日起1年（售后服务效率要求：即时响应（包括电话响应）；电话响应无法解决时， 12 小时内到达现场。修复时间 24 小时内；如 24 小时内无法修复，应提供相应解决方案。）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响应文件，同时，线下提交响应文件正本壹份、副本贰份并密封。若电子响应文件与纸质响应文件不一致的，以电子响应文件为准。线下递交文件时间：详见本项目单一邀请文件递交截止时间；线下递交文件地点：西安市莲湖区环城西路南段元晟合中心6层。 2、协商保证金注意事项：（1）协商保证金须从供应商户名支付，如从个人户名或非供应商户名支付，将被拒绝，视为自动放弃投标权利（该个人是供应商的情形除外）；协商保证金缴纳时间：开标时间之前；以保函形式交纳投标保证金的，供应商应在投标截止时间前将保函扫描成清晰的PDF文件，发送至邮箱2559647209@qq.com（邮件命名：项目编号），并将保函原件单独递交至代理机构财务。保函必须由具有开具投标保函资格的单位开具；若供应商违约，开具保函单位承担连带责任；（2）协商保证金的提交金额、时间不满足单一来源文件要求的，协商无效；（3）协商保证金以采购代理机构到账凭证为准，供应商无需更换交纳凭证，由采购代理机构统一提供； （4）未按指定账户提交的，我公司将退回，供应商须在文件递交截止时间前按照指定账户再次提交。 3、成交供应商无正当理由拒签合同的，或在接到成交通知书规定的时间内，借故拖延、拒签合同者，采购人取消其成交资格，其协商保证金不予退还； 给采购人造成的损失超过协商保证金数额的，成交供应商还应对超过部分予以赔偿。同时报请政府采购监督机构通报全省，取消其进入政府采购市场的资格，并按规定予以处罚。 4、本次采购的离子抛光仪已通过进口产品论证、备案，允许采购进口产品。进口设备报价：协商报价是指到达使用地点、验收合格达到正常使用条件前的所有费用，包括但不限于以下费用：货物价值、安装调试费、国内外运杂费（含保险）、仓储保管费、技术培训费、检测费、施工费、人工费、进口业务相关费用（按合同金额的0.68%收取。包括外贸代理公司进口业务代理费、国内外银行手续费、报关费、商检费等）及进口货物按国家政策征收的一切税费（按国家政策规定甲方可以享受的免税部分除外）等，以单一来源文件的内容和要求作为响应依据；进口产品（经专家论证允许采购的情况下）按人民币报价，此报价不受市场价格及外汇汇率波动影响。采购人及招标代理机构不接受任何未办理合法进口手续的非国内生产产品的响应报价。成交供应商所提供的产品型号、产地等重要信息，需要与仪器机身保持一致。因成交供应商原因（有且不限于型号有误、出具的净重、参数等证明有误、保税区内税号问题等）造成进口货物无法正常报关产生的一切后果及费用由成交供应商自行承担。最终无法清关的，成交供应商须重新发运外贸合同中约定的货物。②报价表中标明本次货物、服务的所有单项价格和总价，任何有选择的报价将不予接受，否则按无效响应处理。 5、售后服务标准要求：为甲方在货物使用地提供操作、保养及维修培训；设备的质保期为设备验收合格后1 年；质保期内供应商负责提供设备的维修及部件更换，质保期自采购人终验合格之日起计算。质保期满之前，供应商需派遣专业工程师对设备进行全面维护及校准。质保期满后，供应商对其提供的设备提供终身的技术支援。以上要求所产生的费用由供应商承担。 设备到货后，供应商负责安装和调试。设备安装调试期间，由供应商工程师在现场为采购人操作人员进行培训，受培训人数不限，培训内容包括但不限于：设备原理、结构、操作、日常维护及保养等，保证采购人操作人员熟悉掌握设备相关知识。设备使用一段时间后，供应商按采购人要求组织工程师，提供不少于3天的高阶应用培训。不定期提供设备使用方面的技术咨询与支持。以上要求所产生的费用由供应商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10月1日以来至少一个月的纳税证明或完税证明，纳税证明或完税证明上应有代收机构或税务机关的公章或业务专用章；其他组织和自然人提供自2024年10月1日以来至少一个月缴纳税收的凭据；依法免税的或者依法不需缴税的供应商应提供相关文件证明； ③社会保障资金缴纳证明：提供自2024年10月1日以来至少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审计报告（成立时间至提交投标文件截止时间不足一年的可提供成立后任意时段的资产负债表），或提交自2025年4月1日以来银行出具的资信证明，或信用担保机构出具的投标担保函（以上三种形式的资料提供任何一种即可）；其他组织和自然人提供银行出具的资信证明或财务报表。 注：此项提供“陕西省政府采购供应商信用承诺书”的，可不再提供其他证明文件。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法定代表人参加协商的，须提供法定代表人身份证；法定代表人授权本单位他人参加协商的，须提供法定代表人授权委托书及被授权人身份证。</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本项目不接受联合体投标，不允许分包。供应商应提供《非联合体不分包投标声明》。</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进口产品</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2资格证明文件.docx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审小组认为供应商报价明显低于其他通过符合性审查供应商的报价，有可能影响产品质量或者不能诚信履约的，评审小组应当要求其在合理的时间内在项目电子化交易系统中上传说明材料，必要时提交相关证明材料。供应商提交的相关证明材料，应当加盖供应商（法定名称）电子印章，在评审小组要求的时间内通过项目电子化交易系统进行提交，否则提交的相关证明材料无效。供应商不能证明其报价合理性的，评审小组应当将其响应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响应文件按照单一来源文件规定要求签署、盖章的</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投标有效期满足单一来源文件要求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总报价未超过单一来源文件中规定的最高限价</w:t>
            </w:r>
          </w:p>
        </w:tc>
        <w:tc>
          <w:tcPr>
            <w:tcW w:type="dxa" w:w="1661"/>
          </w:tcPr>
          <w:p>
            <w:pPr>
              <w:pStyle w:val="null3"/>
            </w:pPr>
            <w:r>
              <w:rPr>
                <w:rFonts w:ascii="仿宋_GB2312" w:hAnsi="仿宋_GB2312" w:cs="仿宋_GB2312" w:eastAsia="仿宋_GB2312"/>
              </w:rPr>
              <w:t>中小企业声明函 残疾人福利性单位声明函 1分项价格表.docx 标的清单 报价表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满足本单一来源文件中的3.4商务要求中交货时间、交货地点、支付约定、质量保修范围和保修期要求的</w:t>
            </w:r>
          </w:p>
        </w:tc>
        <w:tc>
          <w:tcPr>
            <w:tcW w:type="dxa" w:w="1661"/>
          </w:tcPr>
          <w:p>
            <w:pPr>
              <w:pStyle w:val="null3"/>
            </w:pPr>
            <w:r>
              <w:rPr>
                <w:rFonts w:ascii="仿宋_GB2312" w:hAnsi="仿宋_GB2312" w:cs="仿宋_GB2312" w:eastAsia="仿宋_GB2312"/>
              </w:rPr>
              <w:t>3商务部分偏离表.docx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无其他不符合法律、规章文件和单一来源文件规定的情形</w:t>
            </w:r>
          </w:p>
        </w:tc>
        <w:tc>
          <w:tcPr>
            <w:tcW w:type="dxa" w:w="1661"/>
          </w:tcPr>
          <w:p>
            <w:pPr>
              <w:pStyle w:val="null3"/>
            </w:pPr>
            <w:r>
              <w:rPr>
                <w:rFonts w:ascii="仿宋_GB2312" w:hAnsi="仿宋_GB2312" w:cs="仿宋_GB2312" w:eastAsia="仿宋_GB2312"/>
              </w:rPr>
              <w:t>6供应商基本情况表.docx 13采购标的成本说明.docx 5技术响应与偏离表.docx 4承诺书.docx 7实施方案.docx 11供应商相关专利、专有技术情况说明.docx 9供应商供货、服务承诺.docx 12同类项目合同价格说明.docx 8组织机构.docx 10供应商认为需提供的其他资料.docx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详见附件：3商务部分偏离表.docx</w:t>
      </w:r>
    </w:p>
    <w:p>
      <w:pPr>
        <w:pStyle w:val="null3"/>
        <w:ind w:firstLine="960"/>
      </w:pPr>
      <w:r>
        <w:rPr>
          <w:rFonts w:ascii="仿宋_GB2312" w:hAnsi="仿宋_GB2312" w:cs="仿宋_GB2312" w:eastAsia="仿宋_GB2312"/>
        </w:rPr>
        <w:t>详见附件：2资格证明文件.docx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详见附件：5技术响应与偏离表.docx</w:t>
      </w:r>
    </w:p>
    <w:p>
      <w:pPr>
        <w:pStyle w:val="null3"/>
        <w:ind w:firstLine="960"/>
      </w:pPr>
      <w:r>
        <w:rPr>
          <w:rFonts w:ascii="仿宋_GB2312" w:hAnsi="仿宋_GB2312" w:cs="仿宋_GB2312" w:eastAsia="仿宋_GB2312"/>
        </w:rPr>
        <w:t>详见附件：6供应商基本情况表.docx</w:t>
      </w:r>
    </w:p>
    <w:p>
      <w:pPr>
        <w:pStyle w:val="null3"/>
        <w:ind w:firstLine="960"/>
      </w:pPr>
      <w:r>
        <w:rPr>
          <w:rFonts w:ascii="仿宋_GB2312" w:hAnsi="仿宋_GB2312" w:cs="仿宋_GB2312" w:eastAsia="仿宋_GB2312"/>
        </w:rPr>
        <w:t>详见附件：7实施方案.docx</w:t>
      </w:r>
    </w:p>
    <w:p>
      <w:pPr>
        <w:pStyle w:val="null3"/>
        <w:ind w:firstLine="960"/>
      </w:pPr>
      <w:r>
        <w:rPr>
          <w:rFonts w:ascii="仿宋_GB2312" w:hAnsi="仿宋_GB2312" w:cs="仿宋_GB2312" w:eastAsia="仿宋_GB2312"/>
        </w:rPr>
        <w:t>详见附件：8组织机构.docx</w:t>
      </w:r>
    </w:p>
    <w:p>
      <w:pPr>
        <w:pStyle w:val="null3"/>
        <w:ind w:firstLine="960"/>
      </w:pPr>
      <w:r>
        <w:rPr>
          <w:rFonts w:ascii="仿宋_GB2312" w:hAnsi="仿宋_GB2312" w:cs="仿宋_GB2312" w:eastAsia="仿宋_GB2312"/>
        </w:rPr>
        <w:t>详见附件：9供应商供货、服务承诺.docx</w:t>
      </w:r>
    </w:p>
    <w:p>
      <w:pPr>
        <w:pStyle w:val="null3"/>
        <w:ind w:firstLine="960"/>
      </w:pPr>
      <w:r>
        <w:rPr>
          <w:rFonts w:ascii="仿宋_GB2312" w:hAnsi="仿宋_GB2312" w:cs="仿宋_GB2312" w:eastAsia="仿宋_GB2312"/>
        </w:rPr>
        <w:t>详见附件：10供应商认为需提供的其他资料.docx</w:t>
      </w:r>
    </w:p>
    <w:p>
      <w:pPr>
        <w:pStyle w:val="null3"/>
        <w:ind w:firstLine="960"/>
      </w:pPr>
      <w:r>
        <w:rPr>
          <w:rFonts w:ascii="仿宋_GB2312" w:hAnsi="仿宋_GB2312" w:cs="仿宋_GB2312" w:eastAsia="仿宋_GB2312"/>
        </w:rPr>
        <w:t>详见附件：11供应商相关专利、专有技术情况说明.docx</w:t>
      </w:r>
    </w:p>
    <w:p>
      <w:pPr>
        <w:pStyle w:val="null3"/>
        <w:ind w:firstLine="960"/>
      </w:pPr>
      <w:r>
        <w:rPr>
          <w:rFonts w:ascii="仿宋_GB2312" w:hAnsi="仿宋_GB2312" w:cs="仿宋_GB2312" w:eastAsia="仿宋_GB2312"/>
        </w:rPr>
        <w:t>详见附件：12同类项目合同价格说明.docx</w:t>
      </w:r>
    </w:p>
    <w:p>
      <w:pPr>
        <w:pStyle w:val="null3"/>
        <w:ind w:firstLine="960"/>
      </w:pPr>
      <w:r>
        <w:rPr>
          <w:rFonts w:ascii="仿宋_GB2312" w:hAnsi="仿宋_GB2312" w:cs="仿宋_GB2312" w:eastAsia="仿宋_GB2312"/>
        </w:rPr>
        <w:t>详见附件：13采购标的成本说明.docx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