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E0363F">
      <w:pPr>
        <w:jc w:val="center"/>
        <w:rPr>
          <w:rFonts w:hint="eastAsia" w:ascii="仿宋" w:hAnsi="仿宋" w:eastAsia="仿宋" w:cs="仿宋"/>
          <w:b/>
          <w:color w:val="auto"/>
          <w:sz w:val="24"/>
          <w:szCs w:val="24"/>
          <w:highlight w:val="none"/>
        </w:rPr>
      </w:pPr>
      <w:bookmarkStart w:id="2" w:name="_GoBack"/>
      <w:r>
        <w:rPr>
          <w:rFonts w:hint="eastAsia" w:ascii="仿宋" w:hAnsi="仿宋" w:eastAsia="仿宋" w:cs="仿宋"/>
          <w:b/>
          <w:color w:val="auto"/>
          <w:sz w:val="24"/>
          <w:szCs w:val="24"/>
          <w:highlight w:val="none"/>
        </w:rPr>
        <w:t>（此合同仅作为参考，最终签订的合同以采购人确定的合同内容为准）</w:t>
      </w:r>
    </w:p>
    <w:p w14:paraId="6CE835E8">
      <w:pPr>
        <w:spacing w:line="360" w:lineRule="auto"/>
        <w:jc w:val="center"/>
        <w:rPr>
          <w:rFonts w:hint="eastAsia" w:ascii="仿宋" w:hAnsi="仿宋" w:eastAsia="仿宋" w:cs="仿宋"/>
          <w:color w:val="auto"/>
          <w:sz w:val="52"/>
          <w:highlight w:val="none"/>
        </w:rPr>
      </w:pPr>
      <w:r>
        <w:rPr>
          <w:rFonts w:hint="eastAsia" w:ascii="仿宋" w:hAnsi="仿宋" w:eastAsia="仿宋" w:cs="仿宋"/>
          <w:b/>
          <w:color w:val="auto"/>
          <w:sz w:val="24"/>
          <w:highlight w:val="none"/>
        </w:rPr>
        <w:t xml:space="preserve"> </w:t>
      </w:r>
    </w:p>
    <w:p w14:paraId="16D351FD">
      <w:pPr>
        <w:jc w:val="both"/>
        <w:rPr>
          <w:rFonts w:hint="eastAsia" w:ascii="仿宋" w:hAnsi="仿宋" w:eastAsia="仿宋" w:cs="仿宋"/>
          <w:color w:val="auto"/>
          <w:highlight w:val="none"/>
          <w:lang w:val="en-US" w:eastAsia="zh-CN"/>
        </w:rPr>
      </w:pPr>
    </w:p>
    <w:p w14:paraId="3A8733E9">
      <w:pPr>
        <w:jc w:val="center"/>
        <w:rPr>
          <w:rFonts w:hint="eastAsia" w:ascii="仿宋" w:hAnsi="仿宋" w:eastAsia="仿宋" w:cs="仿宋"/>
          <w:color w:val="auto"/>
          <w:sz w:val="52"/>
          <w:highlight w:val="none"/>
          <w:lang w:val="en-US" w:eastAsia="zh-CN"/>
        </w:rPr>
      </w:pPr>
      <w:r>
        <w:rPr>
          <w:rFonts w:hint="eastAsia" w:ascii="仿宋" w:hAnsi="仿宋" w:eastAsia="仿宋" w:cs="仿宋"/>
          <w:b/>
          <w:bCs/>
          <w:color w:val="auto"/>
          <w:sz w:val="52"/>
          <w:highlight w:val="none"/>
          <w:u w:val="single"/>
          <w:lang w:val="en-US" w:eastAsia="zh-CN"/>
        </w:rPr>
        <w:t xml:space="preserve">                      </w:t>
      </w:r>
      <w:r>
        <w:rPr>
          <w:rFonts w:hint="eastAsia" w:ascii="仿宋" w:hAnsi="仿宋" w:eastAsia="仿宋" w:cs="仿宋"/>
          <w:b/>
          <w:bCs/>
          <w:color w:val="auto"/>
          <w:sz w:val="52"/>
          <w:highlight w:val="none"/>
          <w:lang w:val="en-US" w:eastAsia="zh-CN"/>
        </w:rPr>
        <w:t>项目</w:t>
      </w:r>
    </w:p>
    <w:p w14:paraId="7757EAE5">
      <w:pPr>
        <w:jc w:val="center"/>
        <w:rPr>
          <w:rFonts w:hint="eastAsia" w:ascii="仿宋" w:hAnsi="仿宋" w:eastAsia="仿宋" w:cs="仿宋"/>
          <w:color w:val="auto"/>
          <w:sz w:val="52"/>
          <w:highlight w:val="none"/>
        </w:rPr>
      </w:pPr>
    </w:p>
    <w:p w14:paraId="5B634CD3">
      <w:pPr>
        <w:jc w:val="center"/>
        <w:rPr>
          <w:rFonts w:hint="eastAsia" w:ascii="仿宋" w:hAnsi="仿宋" w:eastAsia="仿宋" w:cs="仿宋"/>
          <w:b/>
          <w:bCs/>
          <w:color w:val="auto"/>
          <w:sz w:val="72"/>
          <w:szCs w:val="72"/>
          <w:highlight w:val="none"/>
        </w:rPr>
      </w:pPr>
      <w:r>
        <w:rPr>
          <w:rFonts w:hint="eastAsia" w:ascii="仿宋" w:hAnsi="仿宋" w:eastAsia="仿宋" w:cs="仿宋"/>
          <w:b/>
          <w:bCs/>
          <w:color w:val="auto"/>
          <w:sz w:val="72"/>
          <w:szCs w:val="72"/>
          <w:highlight w:val="none"/>
          <w:lang w:eastAsia="zh-CN"/>
        </w:rPr>
        <w:t>服务</w:t>
      </w:r>
      <w:r>
        <w:rPr>
          <w:rFonts w:hint="eastAsia" w:ascii="仿宋" w:hAnsi="仿宋" w:eastAsia="仿宋" w:cs="仿宋"/>
          <w:b/>
          <w:bCs/>
          <w:color w:val="auto"/>
          <w:sz w:val="72"/>
          <w:szCs w:val="72"/>
          <w:highlight w:val="none"/>
        </w:rPr>
        <w:t>合同</w:t>
      </w:r>
    </w:p>
    <w:p w14:paraId="73436270">
      <w:pPr>
        <w:jc w:val="center"/>
        <w:rPr>
          <w:rFonts w:hint="eastAsia" w:ascii="仿宋" w:hAnsi="仿宋" w:eastAsia="仿宋" w:cs="仿宋"/>
          <w:color w:val="auto"/>
          <w:highlight w:val="none"/>
        </w:rPr>
      </w:pPr>
    </w:p>
    <w:p w14:paraId="74F2316A">
      <w:pPr>
        <w:tabs>
          <w:tab w:val="left" w:pos="180"/>
        </w:tabs>
        <w:spacing w:line="640" w:lineRule="exact"/>
        <w:jc w:val="center"/>
        <w:rPr>
          <w:rFonts w:hint="eastAsia" w:ascii="仿宋" w:hAnsi="仿宋" w:eastAsia="仿宋" w:cs="仿宋"/>
          <w:b/>
          <w:color w:val="auto"/>
          <w:sz w:val="30"/>
          <w:szCs w:val="30"/>
          <w:highlight w:val="none"/>
        </w:rPr>
      </w:pPr>
    </w:p>
    <w:p w14:paraId="51714C3B">
      <w:pPr>
        <w:tabs>
          <w:tab w:val="left" w:pos="180"/>
        </w:tabs>
        <w:spacing w:line="640" w:lineRule="exact"/>
        <w:jc w:val="left"/>
        <w:rPr>
          <w:rFonts w:hint="eastAsia" w:ascii="仿宋" w:hAnsi="仿宋" w:eastAsia="仿宋" w:cs="仿宋"/>
          <w:b/>
          <w:color w:val="auto"/>
          <w:sz w:val="30"/>
          <w:szCs w:val="30"/>
          <w:highlight w:val="none"/>
        </w:rPr>
      </w:pPr>
    </w:p>
    <w:p w14:paraId="05EDF642">
      <w:pPr>
        <w:pStyle w:val="3"/>
        <w:rPr>
          <w:rFonts w:hint="eastAsia" w:ascii="仿宋" w:hAnsi="仿宋" w:eastAsia="仿宋" w:cs="仿宋"/>
          <w:b/>
          <w:color w:val="auto"/>
          <w:sz w:val="30"/>
          <w:szCs w:val="30"/>
          <w:highlight w:val="none"/>
        </w:rPr>
      </w:pPr>
    </w:p>
    <w:p w14:paraId="205C1609">
      <w:pPr>
        <w:pStyle w:val="3"/>
        <w:rPr>
          <w:rFonts w:hint="eastAsia" w:ascii="仿宋" w:hAnsi="仿宋" w:eastAsia="仿宋" w:cs="仿宋"/>
          <w:b/>
          <w:color w:val="auto"/>
          <w:sz w:val="30"/>
          <w:szCs w:val="30"/>
          <w:highlight w:val="none"/>
        </w:rPr>
      </w:pPr>
    </w:p>
    <w:p w14:paraId="21CD3D61">
      <w:pPr>
        <w:pStyle w:val="3"/>
        <w:ind w:left="0" w:leftChars="0" w:firstLine="0" w:firstLineChars="0"/>
        <w:rPr>
          <w:rFonts w:hint="eastAsia" w:ascii="仿宋" w:hAnsi="仿宋" w:eastAsia="仿宋" w:cs="仿宋"/>
          <w:b/>
          <w:color w:val="auto"/>
          <w:sz w:val="30"/>
          <w:szCs w:val="30"/>
          <w:highlight w:val="none"/>
        </w:rPr>
      </w:pPr>
    </w:p>
    <w:p w14:paraId="1D9B1B45">
      <w:pPr>
        <w:pStyle w:val="3"/>
        <w:ind w:left="0" w:leftChars="0" w:firstLine="0" w:firstLineChars="0"/>
        <w:rPr>
          <w:rFonts w:hint="eastAsia" w:ascii="仿宋" w:hAnsi="仿宋" w:eastAsia="仿宋" w:cs="仿宋"/>
          <w:b/>
          <w:color w:val="auto"/>
          <w:sz w:val="30"/>
          <w:szCs w:val="30"/>
          <w:highlight w:val="none"/>
        </w:rPr>
      </w:pPr>
    </w:p>
    <w:p w14:paraId="17BBFCD2">
      <w:pPr>
        <w:spacing w:line="360" w:lineRule="auto"/>
        <w:jc w:val="both"/>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val="en-US" w:eastAsia="zh-CN"/>
        </w:rPr>
        <w:t>甲方</w:t>
      </w:r>
      <w:r>
        <w:rPr>
          <w:rFonts w:hint="eastAsia" w:ascii="仿宋" w:hAnsi="仿宋" w:eastAsia="仿宋" w:cs="仿宋"/>
          <w:b/>
          <w:color w:val="auto"/>
          <w:sz w:val="28"/>
          <w:szCs w:val="28"/>
          <w:highlight w:val="none"/>
        </w:rPr>
        <w:t>: 陕西省广播电视局</w:t>
      </w:r>
    </w:p>
    <w:p w14:paraId="74B18839">
      <w:pPr>
        <w:spacing w:line="360" w:lineRule="auto"/>
        <w:jc w:val="both"/>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乙方</w:t>
      </w:r>
      <w:r>
        <w:rPr>
          <w:rFonts w:hint="eastAsia" w:ascii="仿宋" w:hAnsi="仿宋" w:eastAsia="仿宋" w:cs="仿宋"/>
          <w:b/>
          <w:color w:val="auto"/>
          <w:sz w:val="28"/>
          <w:szCs w:val="28"/>
          <w:highlight w:val="none"/>
        </w:rPr>
        <w:t>:</w:t>
      </w:r>
    </w:p>
    <w:p w14:paraId="1D7EAB2F">
      <w:pPr>
        <w:spacing w:line="360" w:lineRule="auto"/>
        <w:jc w:val="both"/>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签订日期:</w:t>
      </w:r>
    </w:p>
    <w:p w14:paraId="2F8FDDB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p>
    <w:p w14:paraId="5EFFAFD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p>
    <w:p w14:paraId="4B50341B">
      <w:pP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br w:type="page"/>
      </w:r>
    </w:p>
    <w:p w14:paraId="59D2D9C6">
      <w:pPr>
        <w:spacing w:line="360" w:lineRule="auto"/>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服务</w:t>
      </w:r>
      <w:r>
        <w:rPr>
          <w:rFonts w:hint="eastAsia" w:ascii="仿宋" w:hAnsi="仿宋" w:eastAsia="仿宋" w:cs="仿宋"/>
          <w:b/>
          <w:color w:val="auto"/>
          <w:sz w:val="44"/>
          <w:szCs w:val="44"/>
          <w:highlight w:val="none"/>
        </w:rPr>
        <w:t>合同</w:t>
      </w:r>
    </w:p>
    <w:p w14:paraId="56B4732B">
      <w:pPr>
        <w:adjustRightInd w:val="0"/>
        <w:snapToGrid w:val="0"/>
        <w:spacing w:line="120" w:lineRule="auto"/>
        <w:ind w:firstLine="482" w:firstLineChars="200"/>
        <w:jc w:val="center"/>
        <w:rPr>
          <w:rFonts w:hint="eastAsia" w:ascii="仿宋" w:hAnsi="仿宋" w:eastAsia="仿宋" w:cs="仿宋"/>
          <w:b/>
          <w:color w:val="auto"/>
          <w:sz w:val="24"/>
          <w:szCs w:val="24"/>
          <w:highlight w:val="none"/>
        </w:rPr>
      </w:pPr>
    </w:p>
    <w:p w14:paraId="0A72F8B0">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color w:val="auto"/>
          <w:sz w:val="24"/>
          <w:szCs w:val="24"/>
          <w:highlight w:val="none"/>
        </w:rPr>
        <w:t>甲方（采购人）：</w:t>
      </w:r>
      <w:r>
        <w:rPr>
          <w:rFonts w:hint="eastAsia" w:ascii="仿宋" w:hAnsi="仿宋" w:eastAsia="仿宋" w:cs="仿宋"/>
          <w:b w:val="0"/>
          <w:bCs w:val="0"/>
          <w:color w:val="auto"/>
          <w:sz w:val="24"/>
          <w:szCs w:val="24"/>
          <w:highlight w:val="none"/>
          <w:u w:val="single"/>
        </w:rPr>
        <w:t>陕西省广播电视局</w:t>
      </w:r>
    </w:p>
    <w:p w14:paraId="749479B9">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乙方（供应商）：</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single"/>
        </w:rPr>
        <w:t xml:space="preserve"> </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single"/>
        </w:rPr>
        <w:t xml:space="preserve"> </w:t>
      </w:r>
    </w:p>
    <w:p w14:paraId="14E032CD">
      <w:pPr>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b w:val="0"/>
          <w:bCs w:val="0"/>
          <w:color w:val="auto"/>
          <w:sz w:val="24"/>
          <w:szCs w:val="24"/>
          <w:highlight w:val="none"/>
        </w:rPr>
        <w:t>根据</w:t>
      </w:r>
      <w:r>
        <w:rPr>
          <w:rFonts w:hint="eastAsia" w:ascii="仿宋" w:hAnsi="仿宋" w:eastAsia="仿宋" w:cs="仿宋"/>
          <w:b w:val="0"/>
          <w:bCs w:val="0"/>
          <w:color w:val="auto"/>
          <w:spacing w:val="4"/>
          <w:sz w:val="24"/>
          <w:szCs w:val="24"/>
          <w:highlight w:val="none"/>
          <w:lang w:eastAsia="zh-CN"/>
        </w:rPr>
        <w:t>依据《</w:t>
      </w:r>
      <w:r>
        <w:rPr>
          <w:rFonts w:hint="eastAsia" w:ascii="仿宋" w:hAnsi="仿宋" w:eastAsia="仿宋" w:cs="仿宋"/>
          <w:b w:val="0"/>
          <w:bCs w:val="0"/>
          <w:color w:val="auto"/>
          <w:sz w:val="24"/>
          <w:szCs w:val="24"/>
          <w:highlight w:val="none"/>
        </w:rPr>
        <w:t>中华人民共和国民典法</w:t>
      </w:r>
      <w:r>
        <w:rPr>
          <w:rFonts w:hint="eastAsia" w:ascii="仿宋" w:hAnsi="仿宋" w:eastAsia="仿宋" w:cs="仿宋"/>
          <w:b w:val="0"/>
          <w:bCs w:val="0"/>
          <w:color w:val="auto"/>
          <w:spacing w:val="4"/>
          <w:sz w:val="24"/>
          <w:szCs w:val="24"/>
          <w:highlight w:val="none"/>
          <w:lang w:eastAsia="zh-CN"/>
        </w:rPr>
        <w:t>》及竞争性</w:t>
      </w:r>
      <w:r>
        <w:rPr>
          <w:rFonts w:hint="eastAsia" w:ascii="仿宋" w:hAnsi="仿宋" w:eastAsia="仿宋" w:cs="仿宋"/>
          <w:color w:val="auto"/>
          <w:spacing w:val="4"/>
          <w:sz w:val="24"/>
          <w:szCs w:val="24"/>
          <w:highlight w:val="none"/>
          <w:lang w:val="en-US" w:eastAsia="zh-CN"/>
        </w:rPr>
        <w:t>磋商</w:t>
      </w:r>
      <w:r>
        <w:rPr>
          <w:rFonts w:hint="eastAsia" w:ascii="仿宋" w:hAnsi="仿宋" w:eastAsia="仿宋" w:cs="仿宋"/>
          <w:color w:val="auto"/>
          <w:spacing w:val="4"/>
          <w:sz w:val="24"/>
          <w:szCs w:val="24"/>
          <w:highlight w:val="none"/>
          <w:lang w:eastAsia="zh-CN"/>
        </w:rPr>
        <w:t>文件和乙方的</w:t>
      </w:r>
      <w:r>
        <w:rPr>
          <w:rFonts w:hint="eastAsia" w:ascii="仿宋" w:hAnsi="仿宋" w:eastAsia="仿宋" w:cs="仿宋"/>
          <w:color w:val="auto"/>
          <w:spacing w:val="4"/>
          <w:sz w:val="24"/>
          <w:szCs w:val="24"/>
          <w:highlight w:val="none"/>
          <w:lang w:val="en-US" w:eastAsia="zh-CN"/>
        </w:rPr>
        <w:t>响应文件</w:t>
      </w:r>
      <w:r>
        <w:rPr>
          <w:rFonts w:hint="eastAsia" w:ascii="仿宋" w:hAnsi="仿宋" w:eastAsia="仿宋" w:cs="仿宋"/>
          <w:color w:val="auto"/>
          <w:spacing w:val="4"/>
          <w:sz w:val="24"/>
          <w:szCs w:val="24"/>
          <w:highlight w:val="none"/>
          <w:lang w:eastAsia="zh-CN"/>
        </w:rPr>
        <w:t>，经甲、乙双方协商，</w:t>
      </w:r>
      <w:r>
        <w:rPr>
          <w:rFonts w:hint="eastAsia" w:ascii="仿宋" w:hAnsi="仿宋" w:eastAsia="仿宋" w:cs="仿宋"/>
          <w:color w:val="auto"/>
          <w:sz w:val="24"/>
          <w:szCs w:val="24"/>
          <w:highlight w:val="none"/>
        </w:rPr>
        <w:t>双方就</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single"/>
          <w:lang w:eastAsia="zh-CN"/>
        </w:rPr>
        <w:t>项目</w:t>
      </w:r>
      <w:r>
        <w:rPr>
          <w:rFonts w:hint="eastAsia" w:ascii="仿宋" w:hAnsi="仿宋" w:eastAsia="仿宋" w:cs="仿宋"/>
          <w:b w:val="0"/>
          <w:bCs w:val="0"/>
          <w:color w:val="auto"/>
          <w:sz w:val="24"/>
          <w:szCs w:val="24"/>
          <w:highlight w:val="none"/>
        </w:rPr>
        <w:t>，</w:t>
      </w:r>
      <w:r>
        <w:rPr>
          <w:rFonts w:hint="eastAsia" w:ascii="仿宋" w:hAnsi="仿宋" w:eastAsia="仿宋" w:cs="仿宋"/>
          <w:b w:val="0"/>
          <w:bCs w:val="0"/>
          <w:color w:val="auto"/>
          <w:spacing w:val="4"/>
          <w:sz w:val="24"/>
          <w:szCs w:val="24"/>
          <w:highlight w:val="none"/>
          <w:lang w:eastAsia="zh-CN"/>
        </w:rPr>
        <w:t>达成</w:t>
      </w:r>
      <w:r>
        <w:rPr>
          <w:rFonts w:hint="eastAsia" w:ascii="仿宋" w:hAnsi="仿宋" w:eastAsia="仿宋" w:cs="仿宋"/>
          <w:color w:val="auto"/>
          <w:spacing w:val="4"/>
          <w:sz w:val="24"/>
          <w:szCs w:val="24"/>
          <w:highlight w:val="none"/>
          <w:lang w:eastAsia="zh-CN"/>
        </w:rPr>
        <w:t>如下合同条款</w:t>
      </w:r>
      <w:r>
        <w:rPr>
          <w:rFonts w:hint="eastAsia" w:ascii="仿宋" w:hAnsi="仿宋" w:eastAsia="仿宋" w:cs="仿宋"/>
          <w:color w:val="auto"/>
          <w:sz w:val="24"/>
          <w:szCs w:val="24"/>
          <w:highlight w:val="none"/>
        </w:rPr>
        <w:t>。</w:t>
      </w:r>
    </w:p>
    <w:p w14:paraId="05AF0F7B">
      <w:pPr>
        <w:numPr>
          <w:ilvl w:val="0"/>
          <w:numId w:val="1"/>
        </w:num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合同内容及</w:t>
      </w:r>
      <w:bookmarkStart w:id="0" w:name="_Hlk14421743"/>
      <w:r>
        <w:rPr>
          <w:rFonts w:hint="eastAsia" w:ascii="仿宋" w:hAnsi="仿宋" w:eastAsia="仿宋" w:cs="仿宋"/>
          <w:color w:val="auto"/>
          <w:sz w:val="24"/>
          <w:highlight w:val="none"/>
        </w:rPr>
        <w:t>含税总金额</w:t>
      </w:r>
      <w:bookmarkEnd w:id="0"/>
      <w:r>
        <w:rPr>
          <w:rFonts w:hint="eastAsia" w:ascii="仿宋" w:hAnsi="仿宋" w:eastAsia="仿宋" w:cs="仿宋"/>
          <w:color w:val="auto"/>
          <w:sz w:val="24"/>
          <w:highlight w:val="none"/>
        </w:rPr>
        <w:t>：</w:t>
      </w:r>
      <w:r>
        <w:rPr>
          <w:rFonts w:hint="eastAsia" w:ascii="仿宋" w:hAnsi="仿宋" w:eastAsia="仿宋" w:cs="仿宋"/>
          <w:color w:val="auto"/>
          <w:sz w:val="24"/>
          <w:szCs w:val="24"/>
          <w:highlight w:val="none"/>
          <w:u w:val="single"/>
        </w:rPr>
        <w:t>（</w:t>
      </w:r>
      <w:r>
        <w:rPr>
          <w:rFonts w:hint="eastAsia" w:ascii="仿宋" w:hAnsi="仿宋" w:eastAsia="仿宋" w:cs="仿宋"/>
          <w:bCs/>
          <w:color w:val="auto"/>
          <w:sz w:val="24"/>
          <w:szCs w:val="24"/>
          <w:highlight w:val="none"/>
          <w:u w:val="single"/>
        </w:rPr>
        <w:t xml:space="preserve">大写）：人民币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元</w:t>
      </w:r>
      <w:r>
        <w:rPr>
          <w:rFonts w:hint="eastAsia" w:ascii="仿宋" w:hAnsi="仿宋" w:eastAsia="仿宋" w:cs="仿宋"/>
          <w:color w:val="auto"/>
          <w:sz w:val="24"/>
          <w:szCs w:val="24"/>
          <w:highlight w:val="none"/>
          <w:u w:val="single"/>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highlight w:val="none"/>
          <w:u w:val="single"/>
        </w:rPr>
        <w:t>即乙方的</w:t>
      </w:r>
      <w:r>
        <w:rPr>
          <w:rFonts w:hint="eastAsia" w:ascii="仿宋" w:hAnsi="仿宋" w:eastAsia="仿宋" w:cs="仿宋"/>
          <w:color w:val="auto"/>
          <w:sz w:val="24"/>
          <w:highlight w:val="none"/>
          <w:u w:val="single"/>
          <w:lang w:eastAsia="zh-CN"/>
        </w:rPr>
        <w:t>响应文件</w:t>
      </w:r>
      <w:r>
        <w:rPr>
          <w:rFonts w:hint="eastAsia" w:ascii="仿宋" w:hAnsi="仿宋" w:eastAsia="仿宋" w:cs="仿宋"/>
          <w:color w:val="auto"/>
          <w:sz w:val="24"/>
          <w:highlight w:val="none"/>
          <w:u w:val="single"/>
        </w:rPr>
        <w:t>具体内容及其成交总金额</w:t>
      </w:r>
      <w:r>
        <w:rPr>
          <w:rFonts w:hint="eastAsia" w:ascii="仿宋" w:hAnsi="仿宋" w:eastAsia="仿宋" w:cs="仿宋"/>
          <w:color w:val="auto"/>
          <w:sz w:val="24"/>
          <w:highlight w:val="none"/>
        </w:rPr>
        <w:t>。</w:t>
      </w:r>
    </w:p>
    <w:p w14:paraId="407BE1B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2.服务内容：</w:t>
      </w:r>
      <w:r>
        <w:rPr>
          <w:rFonts w:hint="eastAsia" w:ascii="仿宋" w:hAnsi="仿宋" w:eastAsia="仿宋" w:cs="仿宋"/>
          <w:color w:val="auto"/>
          <w:sz w:val="24"/>
          <w:highlight w:val="none"/>
          <w:u w:val="single"/>
        </w:rPr>
        <w:t>即交付的服务与</w:t>
      </w:r>
      <w:r>
        <w:rPr>
          <w:rFonts w:hint="eastAsia" w:ascii="仿宋" w:hAnsi="仿宋" w:eastAsia="仿宋" w:cs="仿宋"/>
          <w:color w:val="auto"/>
          <w:sz w:val="24"/>
          <w:highlight w:val="none"/>
          <w:u w:val="single"/>
          <w:lang w:eastAsia="zh-CN"/>
        </w:rPr>
        <w:t>响应文件</w:t>
      </w:r>
      <w:r>
        <w:rPr>
          <w:rFonts w:hint="eastAsia" w:ascii="仿宋" w:hAnsi="仿宋" w:eastAsia="仿宋" w:cs="仿宋"/>
          <w:color w:val="auto"/>
          <w:sz w:val="24"/>
          <w:highlight w:val="none"/>
          <w:u w:val="single"/>
        </w:rPr>
        <w:t>所指明的服务内容相一致。</w:t>
      </w:r>
    </w:p>
    <w:p w14:paraId="3BD0F90B">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3.知识产权：</w:t>
      </w:r>
      <w:r>
        <w:rPr>
          <w:rFonts w:hint="eastAsia" w:ascii="仿宋" w:hAnsi="仿宋" w:eastAsia="仿宋" w:cs="仿宋"/>
          <w:color w:val="auto"/>
          <w:sz w:val="24"/>
          <w:highlight w:val="none"/>
          <w:u w:val="single"/>
        </w:rPr>
        <w:t>甲方对本合同履行期间产生的成果（包括乙方交付的全部成果以及本合同履行过程中产生的技术文件）拥有全部权利，包括知识产权、所有权及相应利益。乙方保证甲方在使用合同服务时，不承担任何涉及知识产权法律诉讼的责任。</w:t>
      </w:r>
    </w:p>
    <w:p w14:paraId="0E01DFB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4.服务期限：</w:t>
      </w:r>
      <w:r>
        <w:rPr>
          <w:rFonts w:hint="eastAsia" w:ascii="仿宋" w:hAnsi="仿宋" w:eastAsia="仿宋" w:cs="仿宋"/>
          <w:color w:val="auto"/>
          <w:sz w:val="24"/>
          <w:szCs w:val="24"/>
          <w:highlight w:val="none"/>
          <w:u w:val="single"/>
          <w:lang w:val="en-US" w:eastAsia="zh-CN"/>
        </w:rPr>
        <w:t>自合同签订之日起自合同签订之日起1年</w:t>
      </w:r>
      <w:r>
        <w:rPr>
          <w:rFonts w:hint="eastAsia" w:ascii="仿宋" w:hAnsi="仿宋" w:eastAsia="仿宋" w:cs="仿宋"/>
          <w:color w:val="auto"/>
          <w:sz w:val="24"/>
          <w:szCs w:val="24"/>
          <w:highlight w:val="none"/>
          <w:u w:val="single"/>
        </w:rPr>
        <w:t>。</w:t>
      </w:r>
    </w:p>
    <w:p w14:paraId="18125CE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乙方未征得甲方</w:t>
      </w:r>
      <w:r>
        <w:rPr>
          <w:rFonts w:hint="eastAsia" w:ascii="仿宋" w:hAnsi="仿宋" w:eastAsia="仿宋" w:cs="仿宋"/>
          <w:color w:val="auto"/>
          <w:sz w:val="24"/>
          <w:szCs w:val="24"/>
          <w:highlight w:val="none"/>
          <w:lang w:eastAsia="zh-Hans"/>
        </w:rPr>
        <w:t>书面</w:t>
      </w:r>
      <w:r>
        <w:rPr>
          <w:rFonts w:hint="eastAsia" w:ascii="仿宋" w:hAnsi="仿宋" w:eastAsia="仿宋" w:cs="仿宋"/>
          <w:color w:val="auto"/>
          <w:sz w:val="24"/>
          <w:szCs w:val="24"/>
          <w:highlight w:val="none"/>
        </w:rPr>
        <w:t>同意和谅解而单方面延迟服务期，甲方有权终止合同，乙方应承担违约责任。乙方遇到可能妨碍按时提供服务的情况，应当及时以书面形式通知甲方，说明原由、拖延的期限等；甲方在收到通知后，尽快进行情况评估并确定是否通过修改合同，酌情延长服务时间或者通过协商加收误期赔偿金。</w:t>
      </w:r>
    </w:p>
    <w:p w14:paraId="0C2FC99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5.服务地点：</w:t>
      </w:r>
      <w:r>
        <w:rPr>
          <w:rFonts w:hint="eastAsia" w:ascii="仿宋" w:hAnsi="仿宋" w:eastAsia="仿宋" w:cs="仿宋"/>
          <w:color w:val="auto"/>
          <w:sz w:val="24"/>
          <w:szCs w:val="24"/>
          <w:highlight w:val="none"/>
          <w:u w:val="single"/>
        </w:rPr>
        <w:t>陕西省广播电视局指定服务地点</w:t>
      </w:r>
      <w:r>
        <w:rPr>
          <w:rFonts w:hint="eastAsia" w:ascii="仿宋" w:hAnsi="仿宋" w:eastAsia="仿宋" w:cs="仿宋"/>
          <w:color w:val="auto"/>
          <w:sz w:val="24"/>
          <w:szCs w:val="24"/>
          <w:highlight w:val="none"/>
        </w:rPr>
        <w:t>。</w:t>
      </w:r>
    </w:p>
    <w:p w14:paraId="563F40C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6.结算：</w:t>
      </w:r>
      <w:r>
        <w:rPr>
          <w:rFonts w:hint="eastAsia" w:ascii="仿宋" w:hAnsi="仿宋" w:eastAsia="仿宋" w:cs="仿宋"/>
          <w:color w:val="auto"/>
          <w:sz w:val="24"/>
          <w:szCs w:val="24"/>
          <w:highlight w:val="none"/>
          <w:u w:val="single"/>
        </w:rPr>
        <w:t>乙方持相关手续向甲方申请付款。</w:t>
      </w:r>
    </w:p>
    <w:p w14:paraId="0FE4E346">
      <w:pPr>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6.1付款方式：</w:t>
      </w:r>
      <w:r>
        <w:rPr>
          <w:rFonts w:hint="eastAsia" w:ascii="仿宋" w:hAnsi="仿宋" w:eastAsia="仿宋" w:cs="仿宋"/>
          <w:color w:val="auto"/>
          <w:sz w:val="24"/>
          <w:szCs w:val="24"/>
          <w:highlight w:val="none"/>
          <w:u w:val="single"/>
        </w:rPr>
        <w:t>合同签订且</w:t>
      </w:r>
      <w:r>
        <w:rPr>
          <w:rFonts w:hint="eastAsia" w:ascii="仿宋" w:hAnsi="仿宋" w:eastAsia="仿宋" w:cs="仿宋"/>
          <w:color w:val="auto"/>
          <w:sz w:val="24"/>
          <w:szCs w:val="24"/>
          <w:highlight w:val="none"/>
          <w:u w:val="single"/>
          <w:lang w:eastAsia="zh-CN"/>
        </w:rPr>
        <w:t>乙方</w:t>
      </w:r>
      <w:r>
        <w:rPr>
          <w:rFonts w:hint="eastAsia" w:ascii="仿宋" w:hAnsi="仿宋" w:eastAsia="仿宋" w:cs="仿宋"/>
          <w:color w:val="auto"/>
          <w:sz w:val="24"/>
          <w:szCs w:val="24"/>
          <w:highlight w:val="none"/>
          <w:u w:val="single"/>
        </w:rPr>
        <w:t>缴纳合同价款的5%作为</w:t>
      </w:r>
      <w:r>
        <w:rPr>
          <w:rFonts w:hint="eastAsia" w:ascii="仿宋" w:hAnsi="仿宋" w:eastAsia="仿宋" w:cs="仿宋"/>
          <w:color w:val="auto"/>
          <w:sz w:val="24"/>
          <w:szCs w:val="24"/>
          <w:highlight w:val="none"/>
          <w:u w:val="single"/>
          <w:lang w:eastAsia="zh-CN"/>
        </w:rPr>
        <w:t>履约保证金</w:t>
      </w:r>
      <w:r>
        <w:rPr>
          <w:rFonts w:hint="eastAsia" w:ascii="仿宋" w:hAnsi="仿宋" w:eastAsia="仿宋" w:cs="仿宋"/>
          <w:color w:val="auto"/>
          <w:sz w:val="24"/>
          <w:szCs w:val="24"/>
          <w:highlight w:val="none"/>
          <w:u w:val="single"/>
        </w:rPr>
        <w:t>后，达到付款条件起 10 日内</w:t>
      </w:r>
      <w:r>
        <w:rPr>
          <w:rFonts w:hint="eastAsia" w:ascii="仿宋" w:hAnsi="仿宋" w:eastAsia="仿宋" w:cs="仿宋"/>
          <w:color w:val="auto"/>
          <w:sz w:val="24"/>
          <w:szCs w:val="24"/>
          <w:highlight w:val="none"/>
          <w:u w:val="single"/>
          <w:lang w:eastAsia="zh-CN"/>
        </w:rPr>
        <w:t>，甲方向乙方</w:t>
      </w:r>
      <w:r>
        <w:rPr>
          <w:rFonts w:hint="eastAsia" w:ascii="仿宋" w:hAnsi="仿宋" w:eastAsia="仿宋" w:cs="仿宋"/>
          <w:color w:val="auto"/>
          <w:sz w:val="24"/>
          <w:szCs w:val="24"/>
          <w:highlight w:val="none"/>
          <w:u w:val="single"/>
        </w:rPr>
        <w:t>支付</w:t>
      </w:r>
      <w:r>
        <w:rPr>
          <w:rFonts w:hint="eastAsia" w:ascii="仿宋" w:hAnsi="仿宋" w:eastAsia="仿宋" w:cs="仿宋"/>
          <w:color w:val="auto"/>
          <w:sz w:val="24"/>
          <w:szCs w:val="24"/>
          <w:highlight w:val="none"/>
          <w:u w:val="single"/>
          <w:lang w:eastAsia="zh-CN"/>
        </w:rPr>
        <w:t>合同价款的</w:t>
      </w:r>
      <w:r>
        <w:rPr>
          <w:rFonts w:hint="eastAsia" w:ascii="仿宋" w:hAnsi="仿宋" w:eastAsia="仿宋" w:cs="仿宋"/>
          <w:color w:val="auto"/>
          <w:sz w:val="24"/>
          <w:szCs w:val="24"/>
          <w:highlight w:val="none"/>
          <w:u w:val="single"/>
          <w:lang w:val="en-US" w:eastAsia="zh-CN"/>
        </w:rPr>
        <w:t>100%</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eastAsia="zh-CN"/>
        </w:rPr>
        <w:t>履约保证金</w:t>
      </w:r>
      <w:r>
        <w:rPr>
          <w:rFonts w:hint="eastAsia" w:ascii="仿宋" w:hAnsi="仿宋" w:eastAsia="仿宋" w:cs="仿宋"/>
          <w:color w:val="auto"/>
          <w:sz w:val="24"/>
          <w:szCs w:val="24"/>
          <w:highlight w:val="none"/>
          <w:u w:val="single"/>
        </w:rPr>
        <w:t>以银行、保险公司出具保函形式，或向</w:t>
      </w:r>
      <w:r>
        <w:rPr>
          <w:rFonts w:hint="eastAsia" w:ascii="仿宋" w:hAnsi="仿宋" w:eastAsia="仿宋" w:cs="仿宋"/>
          <w:color w:val="auto"/>
          <w:sz w:val="24"/>
          <w:szCs w:val="24"/>
          <w:highlight w:val="none"/>
          <w:u w:val="single"/>
          <w:lang w:eastAsia="zh-CN"/>
        </w:rPr>
        <w:t>甲方</w:t>
      </w:r>
      <w:r>
        <w:rPr>
          <w:rFonts w:hint="eastAsia" w:ascii="仿宋" w:hAnsi="仿宋" w:eastAsia="仿宋" w:cs="仿宋"/>
          <w:color w:val="auto"/>
          <w:sz w:val="24"/>
          <w:szCs w:val="24"/>
          <w:highlight w:val="none"/>
          <w:u w:val="single"/>
        </w:rPr>
        <w:t>账户转账的方式提交</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服务期结束后，根据履约情况和服务商请求</w:t>
      </w:r>
      <w:r>
        <w:rPr>
          <w:rFonts w:hint="eastAsia" w:ascii="仿宋" w:hAnsi="仿宋" w:eastAsia="仿宋" w:cs="仿宋"/>
          <w:color w:val="auto"/>
          <w:sz w:val="24"/>
          <w:szCs w:val="24"/>
          <w:highlight w:val="none"/>
          <w:u w:val="single"/>
          <w:lang w:eastAsia="zh-CN"/>
        </w:rPr>
        <w:t>，甲方</w:t>
      </w:r>
      <w:r>
        <w:rPr>
          <w:rFonts w:hint="eastAsia" w:ascii="仿宋" w:hAnsi="仿宋" w:eastAsia="仿宋" w:cs="仿宋"/>
          <w:color w:val="auto"/>
          <w:sz w:val="24"/>
          <w:szCs w:val="24"/>
          <w:highlight w:val="none"/>
          <w:u w:val="single"/>
        </w:rPr>
        <w:t>退还</w:t>
      </w:r>
      <w:r>
        <w:rPr>
          <w:rFonts w:hint="eastAsia" w:ascii="仿宋" w:hAnsi="仿宋" w:eastAsia="仿宋" w:cs="仿宋"/>
          <w:color w:val="auto"/>
          <w:sz w:val="24"/>
          <w:szCs w:val="24"/>
          <w:highlight w:val="none"/>
          <w:u w:val="single"/>
          <w:lang w:eastAsia="zh-CN"/>
        </w:rPr>
        <w:t>履约保证金</w:t>
      </w:r>
      <w:r>
        <w:rPr>
          <w:rFonts w:hint="eastAsia" w:ascii="仿宋" w:hAnsi="仿宋" w:eastAsia="仿宋" w:cs="仿宋"/>
          <w:color w:val="auto"/>
          <w:sz w:val="24"/>
          <w:szCs w:val="24"/>
          <w:highlight w:val="none"/>
          <w:u w:val="single"/>
        </w:rPr>
        <w:t>。</w:t>
      </w:r>
    </w:p>
    <w:p w14:paraId="3EC8EAFD">
      <w:pPr>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注：</w:t>
      </w:r>
      <w:r>
        <w:rPr>
          <w:rFonts w:hint="eastAsia" w:ascii="仿宋" w:hAnsi="仿宋" w:eastAsia="仿宋" w:cs="仿宋"/>
          <w:b/>
          <w:bCs/>
          <w:color w:val="auto"/>
          <w:sz w:val="24"/>
          <w:szCs w:val="24"/>
          <w:highlight w:val="none"/>
        </w:rPr>
        <w:t>上述时间不包括甲方正常办理支付报批手续的时间。</w:t>
      </w:r>
    </w:p>
    <w:p w14:paraId="40E55614">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6.2.结算方式：</w:t>
      </w:r>
    </w:p>
    <w:p w14:paraId="4EAB03B6">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银行转账。</w:t>
      </w:r>
    </w:p>
    <w:p w14:paraId="7F20B25F">
      <w:pPr>
        <w:spacing w:line="360" w:lineRule="auto"/>
        <w:ind w:firstLine="480" w:firstLineChars="200"/>
        <w:rPr>
          <w:rFonts w:hint="eastAsia" w:ascii="仿宋" w:hAnsi="仿宋" w:eastAsia="仿宋" w:cs="仿宋"/>
          <w:color w:val="auto"/>
          <w:sz w:val="24"/>
          <w:szCs w:val="24"/>
          <w:highlight w:val="none"/>
          <w:lang w:val="zh-TW"/>
        </w:rPr>
      </w:pPr>
      <w:r>
        <w:rPr>
          <w:rFonts w:hint="eastAsia" w:ascii="仿宋" w:hAnsi="仿宋" w:eastAsia="仿宋" w:cs="仿宋"/>
          <w:bCs/>
          <w:color w:val="auto"/>
          <w:sz w:val="24"/>
          <w:highlight w:val="none"/>
        </w:rPr>
        <w:t>乙方</w:t>
      </w:r>
      <w:r>
        <w:rPr>
          <w:rFonts w:hint="eastAsia" w:ascii="仿宋" w:hAnsi="仿宋" w:eastAsia="仿宋" w:cs="仿宋"/>
          <w:bCs/>
          <w:color w:val="auto"/>
          <w:sz w:val="24"/>
          <w:highlight w:val="none"/>
          <w:lang w:val="zh-TW"/>
        </w:rPr>
        <w:t>对</w:t>
      </w:r>
      <w:r>
        <w:rPr>
          <w:rFonts w:hint="eastAsia" w:ascii="仿宋" w:hAnsi="仿宋" w:eastAsia="仿宋" w:cs="仿宋"/>
          <w:bCs/>
          <w:color w:val="auto"/>
          <w:sz w:val="24"/>
          <w:highlight w:val="none"/>
        </w:rPr>
        <w:t>其</w:t>
      </w:r>
      <w:r>
        <w:rPr>
          <w:rFonts w:hint="eastAsia" w:ascii="仿宋" w:hAnsi="仿宋" w:eastAsia="仿宋" w:cs="仿宋"/>
          <w:bCs/>
          <w:color w:val="auto"/>
          <w:sz w:val="24"/>
          <w:highlight w:val="none"/>
          <w:lang w:val="zh-TW"/>
        </w:rPr>
        <w:t>账户信息的准确性和可用性承担全部责任，若</w:t>
      </w:r>
      <w:r>
        <w:rPr>
          <w:rFonts w:hint="eastAsia" w:ascii="仿宋" w:hAnsi="仿宋" w:eastAsia="仿宋" w:cs="仿宋"/>
          <w:bCs/>
          <w:color w:val="auto"/>
          <w:sz w:val="24"/>
          <w:highlight w:val="none"/>
        </w:rPr>
        <w:t>提供的</w:t>
      </w:r>
      <w:r>
        <w:rPr>
          <w:rFonts w:hint="eastAsia" w:ascii="仿宋" w:hAnsi="仿宋" w:eastAsia="仿宋" w:cs="仿宋"/>
          <w:bCs/>
          <w:color w:val="auto"/>
          <w:sz w:val="24"/>
          <w:highlight w:val="none"/>
          <w:lang w:val="zh-TW"/>
        </w:rPr>
        <w:t>账户信息发生任何</w:t>
      </w:r>
      <w:r>
        <w:rPr>
          <w:rFonts w:hint="eastAsia" w:ascii="仿宋" w:hAnsi="仿宋" w:eastAsia="仿宋" w:cs="仿宋"/>
          <w:color w:val="auto"/>
          <w:sz w:val="24"/>
          <w:szCs w:val="24"/>
          <w:highlight w:val="none"/>
          <w:lang w:val="zh-TW"/>
        </w:rPr>
        <w:t>变化，</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zh-TW"/>
        </w:rPr>
        <w:t>应提前5个工作日书面通知</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val="zh-TW"/>
        </w:rPr>
        <w:t>，否则</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val="zh-TW"/>
        </w:rPr>
        <w:t>不对</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zh-TW"/>
        </w:rPr>
        <w:t>未能收到或迟延收到任何款项承担责任。</w:t>
      </w:r>
    </w:p>
    <w:p w14:paraId="744486D3">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6.3验收交付标准和方法：</w:t>
      </w:r>
    </w:p>
    <w:p w14:paraId="47F46CC1">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服务期满后供应商需向采购人提供维护记录表，维护记录表应详细记录具体维护内容和存在的问题。供应商根据</w:t>
      </w:r>
      <w:r>
        <w:rPr>
          <w:rFonts w:hint="eastAsia" w:ascii="仿宋" w:hAnsi="仿宋" w:eastAsia="仿宋" w:cs="仿宋"/>
          <w:b w:val="0"/>
          <w:bCs w:val="0"/>
          <w:color w:val="auto"/>
          <w:spacing w:val="4"/>
          <w:sz w:val="24"/>
          <w:szCs w:val="24"/>
          <w:highlight w:val="none"/>
          <w:lang w:eastAsia="zh-CN"/>
        </w:rPr>
        <w:t>竞争性</w:t>
      </w:r>
      <w:r>
        <w:rPr>
          <w:rFonts w:hint="eastAsia" w:ascii="仿宋" w:hAnsi="仿宋" w:eastAsia="仿宋" w:cs="仿宋"/>
          <w:color w:val="auto"/>
          <w:sz w:val="24"/>
          <w:szCs w:val="24"/>
          <w:highlight w:val="none"/>
          <w:lang w:val="en-US" w:eastAsia="zh-CN"/>
        </w:rPr>
        <w:t>磋商文件、响应文件、国家行业标准及采购合同等相关文件，共同进行验收。</w:t>
      </w:r>
    </w:p>
    <w:p w14:paraId="31738EB1">
      <w:pPr>
        <w:spacing w:line="360" w:lineRule="auto"/>
        <w:ind w:firstLine="480" w:firstLineChars="200"/>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6.4验收组织方式：</w:t>
      </w:r>
    </w:p>
    <w:p w14:paraId="68117710">
      <w:pPr>
        <w:spacing w:line="360" w:lineRule="auto"/>
        <w:ind w:firstLine="480" w:firstLineChars="200"/>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6.4.1服务期结束时，服务商应向采购方书面报告巡检情况、维护维修服务情况，维护维修服务报告还应该包含群众或基层满意度调查情况，同时提供附证材料，附证材料须有基层盖章或负责人签字。</w:t>
      </w:r>
    </w:p>
    <w:p w14:paraId="03876BE5">
      <w:pPr>
        <w:spacing w:line="360" w:lineRule="auto"/>
        <w:ind w:firstLine="480" w:firstLineChars="200"/>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6.4.2采购方采取核查资料、电话访谈、基层走访、实际查看等形式，对服务商开展服务情况进行评估。</w:t>
      </w:r>
    </w:p>
    <w:p w14:paraId="7BFE16B6">
      <w:pPr>
        <w:spacing w:line="360" w:lineRule="auto"/>
        <w:ind w:firstLine="480" w:firstLineChars="200"/>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6.4.3服务商按采购方要求，提供有关资料，接受采购方财务部门和省级财政部门的项目绩效评估。</w:t>
      </w:r>
    </w:p>
    <w:p w14:paraId="126FD577">
      <w:pPr>
        <w:spacing w:line="360" w:lineRule="auto"/>
        <w:ind w:firstLine="480" w:firstLineChars="200"/>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6.5履约保证金及缴纳形式：</w:t>
      </w:r>
    </w:p>
    <w:p w14:paraId="2BA6513D">
      <w:pPr>
        <w:spacing w:line="360" w:lineRule="auto"/>
        <w:ind w:firstLine="480" w:firstLineChars="200"/>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中标/成交供应商是否需要缴纳履约保证金：是</w:t>
      </w:r>
    </w:p>
    <w:p w14:paraId="4EC7E70D">
      <w:pPr>
        <w:spacing w:line="360" w:lineRule="auto"/>
        <w:ind w:firstLine="480" w:firstLineChars="200"/>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6.6质量保证金及缴纳形式：</w:t>
      </w:r>
    </w:p>
    <w:p w14:paraId="120EC8B4">
      <w:pPr>
        <w:spacing w:line="360" w:lineRule="auto"/>
        <w:ind w:firstLine="480" w:firstLineChars="200"/>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中标/成交供应商是否需要缴纳质量保证金：否</w:t>
      </w:r>
    </w:p>
    <w:p w14:paraId="049D5CDE">
      <w:pPr>
        <w:spacing w:line="360" w:lineRule="auto"/>
        <w:ind w:firstLine="480" w:firstLineChars="200"/>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7.不可抗力：</w:t>
      </w:r>
    </w:p>
    <w:p w14:paraId="0F4305C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b w:val="0"/>
          <w:bCs w:val="0"/>
          <w:color w:val="auto"/>
          <w:kern w:val="2"/>
          <w:sz w:val="24"/>
          <w:szCs w:val="24"/>
          <w:highlight w:val="none"/>
          <w:lang w:val="en-US" w:eastAsia="zh-CN" w:bidi="ar-SA"/>
        </w:rPr>
        <w:t>7.1合同任一方由于受诸如洪水、地震等不可抗力事件的影响而不能执行合同时，履行合同的期限应予以延长，</w:t>
      </w:r>
      <w:r>
        <w:rPr>
          <w:rFonts w:hint="eastAsia" w:ascii="仿宋" w:hAnsi="仿宋" w:eastAsia="仿宋" w:cs="仿宋"/>
          <w:color w:val="auto"/>
          <w:sz w:val="24"/>
          <w:szCs w:val="24"/>
          <w:highlight w:val="none"/>
        </w:rPr>
        <w:t>延长的期限应相当于事故所影响的时间。不可抗力事件是指甲乙</w:t>
      </w:r>
      <w:r>
        <w:rPr>
          <w:rFonts w:hint="eastAsia" w:ascii="仿宋" w:hAnsi="仿宋" w:eastAsia="仿宋" w:cs="仿宋"/>
          <w:color w:val="auto"/>
          <w:sz w:val="24"/>
          <w:highlight w:val="none"/>
        </w:rPr>
        <w:t>双方在缔结合同时所不能预见的，且它的发生及其后果是无法避免和无法克服的事故。</w:t>
      </w:r>
    </w:p>
    <w:p w14:paraId="2C17D93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7.2遭受不可抗力一方应在不可抗力事故发生后尽快以书面形式通知对方，并于事故发生后14天内将有关部门出具的证明文件、详细情况报告以及不可抗力对履行合同影响程度的说明通知对方。</w:t>
      </w:r>
    </w:p>
    <w:p w14:paraId="6F33AD0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7.3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14:paraId="16B84DE7">
      <w:pPr>
        <w:spacing w:line="360" w:lineRule="auto"/>
        <w:ind w:firstLine="480" w:firstLineChars="200"/>
        <w:rPr>
          <w:rFonts w:hint="eastAsia" w:ascii="仿宋" w:hAnsi="仿宋" w:eastAsia="仿宋" w:cs="仿宋"/>
          <w:color w:val="auto"/>
          <w:sz w:val="24"/>
          <w:szCs w:val="22"/>
          <w:highlight w:val="none"/>
        </w:rPr>
      </w:pPr>
      <w:r>
        <w:rPr>
          <w:rFonts w:hint="eastAsia" w:ascii="仿宋" w:hAnsi="仿宋" w:eastAsia="仿宋" w:cs="仿宋"/>
          <w:color w:val="auto"/>
          <w:sz w:val="24"/>
          <w:highlight w:val="none"/>
        </w:rPr>
        <w:t>7.4一旦不可抗力事故的影响持续120天以上，甲乙双方通过友好协商，在合理的时间内</w:t>
      </w:r>
      <w:r>
        <w:rPr>
          <w:rFonts w:hint="eastAsia" w:ascii="仿宋" w:hAnsi="仿宋" w:eastAsia="仿宋" w:cs="仿宋"/>
          <w:color w:val="auto"/>
          <w:sz w:val="24"/>
          <w:szCs w:val="22"/>
          <w:highlight w:val="none"/>
        </w:rPr>
        <w:t>达成进一步履行合同或终止合同的协议。</w:t>
      </w:r>
    </w:p>
    <w:p w14:paraId="40C3BDA7">
      <w:pPr>
        <w:spacing w:line="360" w:lineRule="auto"/>
        <w:ind w:firstLine="480" w:firstLineChars="200"/>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7.5风险控制措施和替代方案：该采购项目按照《政府采购需求管理办法》第二十五条规定，本项目是否需要组织风险判断、提出处置措施和替代方案：否</w:t>
      </w:r>
    </w:p>
    <w:p w14:paraId="37C5251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8.合同一经签订，不得擅自变更、中止或者终止合同。对确需变更、调整或者中止、终止合同的，应按规定履行相应的手续。</w:t>
      </w:r>
    </w:p>
    <w:p w14:paraId="18CADB9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8.违约责任：</w:t>
      </w:r>
    </w:p>
    <w:p w14:paraId="1970658C">
      <w:pPr>
        <w:spacing w:line="360" w:lineRule="auto"/>
        <w:ind w:firstLine="480" w:firstLineChars="200"/>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8.1</w:t>
      </w:r>
      <w:r>
        <w:rPr>
          <w:rFonts w:hint="eastAsia" w:ascii="仿宋" w:hAnsi="仿宋" w:eastAsia="仿宋" w:cs="仿宋"/>
          <w:color w:val="auto"/>
          <w:spacing w:val="4"/>
          <w:sz w:val="24"/>
          <w:szCs w:val="24"/>
          <w:highlight w:val="none"/>
          <w:lang w:eastAsia="zh-CN"/>
        </w:rPr>
        <w:t>依据《</w:t>
      </w:r>
      <w:r>
        <w:rPr>
          <w:rFonts w:hint="eastAsia" w:ascii="仿宋" w:hAnsi="仿宋" w:eastAsia="仿宋" w:cs="仿宋"/>
          <w:color w:val="auto"/>
          <w:sz w:val="24"/>
          <w:szCs w:val="24"/>
          <w:highlight w:val="none"/>
        </w:rPr>
        <w:t>中华人民共和国民典法</w:t>
      </w:r>
      <w:r>
        <w:rPr>
          <w:rFonts w:hint="eastAsia" w:ascii="仿宋" w:hAnsi="仿宋" w:eastAsia="仿宋" w:cs="仿宋"/>
          <w:color w:val="auto"/>
          <w:spacing w:val="4"/>
          <w:sz w:val="24"/>
          <w:szCs w:val="24"/>
          <w:highlight w:val="none"/>
          <w:lang w:eastAsia="zh-CN"/>
        </w:rPr>
        <w:t>》及</w:t>
      </w:r>
      <w:r>
        <w:rPr>
          <w:rFonts w:hint="eastAsia" w:ascii="仿宋" w:hAnsi="仿宋" w:eastAsia="仿宋" w:cs="仿宋"/>
          <w:color w:val="auto"/>
          <w:spacing w:val="4"/>
          <w:sz w:val="24"/>
          <w:szCs w:val="24"/>
          <w:highlight w:val="none"/>
          <w:lang w:val="en-US" w:eastAsia="zh-CN"/>
        </w:rPr>
        <w:t>磋商</w:t>
      </w:r>
      <w:r>
        <w:rPr>
          <w:rFonts w:hint="eastAsia" w:ascii="仿宋" w:hAnsi="仿宋" w:eastAsia="仿宋" w:cs="仿宋"/>
          <w:color w:val="auto"/>
          <w:spacing w:val="4"/>
          <w:sz w:val="24"/>
          <w:szCs w:val="24"/>
          <w:highlight w:val="none"/>
          <w:lang w:eastAsia="zh-CN"/>
        </w:rPr>
        <w:t>文件和乙方的</w:t>
      </w:r>
      <w:r>
        <w:rPr>
          <w:rFonts w:hint="eastAsia" w:ascii="仿宋" w:hAnsi="仿宋" w:eastAsia="仿宋" w:cs="仿宋"/>
          <w:color w:val="auto"/>
          <w:spacing w:val="4"/>
          <w:sz w:val="24"/>
          <w:szCs w:val="24"/>
          <w:highlight w:val="none"/>
          <w:lang w:val="en-US" w:eastAsia="zh-CN"/>
        </w:rPr>
        <w:t>响应文件</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z w:val="24"/>
          <w:highlight w:val="none"/>
          <w:shd w:val="clear" w:color="auto" w:fill="FFFFFF"/>
        </w:rPr>
        <w:t>和本合同约定，乙方未全面履行合同义务或者发生违约，若连续或累计履行迟延超过30日，甲方有权终止合同，乙方应返还甲方支付价款，并承担合同总价30%的违约金，造成甲方损失的应当赔偿，并报请有关监督管理机关依法进行相应的行政处罚。甲方违约的，应当赔偿给乙方造成的经济损失。</w:t>
      </w:r>
    </w:p>
    <w:p w14:paraId="4C24F5FE">
      <w:pPr>
        <w:spacing w:line="360" w:lineRule="auto"/>
        <w:ind w:firstLine="480" w:firstLineChars="200"/>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8.2如因乙方工作人员在履行职务过程中的疏忽、失职、过错等故意或者过失原因给甲方造成损失或侵害，包括但不限于甲方本身的财产损失、由此而导致的甲方对任何第三方的法律责任等，乙方对此均应承担全部的赔偿责任。甲方有权解除合同，乙方应返还甲方支付的合同价款，并承担合同价款30%的违约金，造成损失的应当赔偿。</w:t>
      </w:r>
    </w:p>
    <w:p w14:paraId="546B09C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8.3若乙方未按照合同约定履行或者履行合同不符合甲方要求的，甲方有权解除合同，乙方应返还甲方支付的合同价款，并承担合同价款30%的违约金，造成损失的应当赔偿。</w:t>
      </w:r>
    </w:p>
    <w:p w14:paraId="67E924A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8.4乙方应保证所提供的服务或其任何一部分均不会侵犯任何第三方的专利权、商标权或著作权。若因此造成的任何纠纷均由乙方承担责任，包括但不限于甲方因此产生的诉讼费、律师费、损害赔偿等。</w:t>
      </w:r>
    </w:p>
    <w:p w14:paraId="6F842A7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8.5如果出现政府采购监督管理部门在处理投诉事项期间，书面通知甲方暂停采购活动的情形，或者询问或质疑事项可能影响成交结果的，导致甲方中止履行合同的情形，均不视为甲方违约。</w:t>
      </w:r>
    </w:p>
    <w:p w14:paraId="38B6D31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8.6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04CAAF7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9.履行瑕疵</w:t>
      </w:r>
    </w:p>
    <w:p w14:paraId="7821D1F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在合同履行过程中，如果乙方遇到不能按时提供服务或履行合同义务有瑕疵的情况，应及时以书面形式将不能正常提供服务的理由、预期延误时间通知甲方；甲方收到乙方通知后，认为其理由正当的，可以书面形式酌情同意乙方可以延长履行的具体时间；认为理由不正当的有权解除合同，引入第三方提供服务，乙方应退还甲方已付服务费并承担甲方因引入第三方继续提供服务给甲方造成的直接或间接损失。</w:t>
      </w:r>
    </w:p>
    <w:p w14:paraId="4E72D2EE">
      <w:pPr>
        <w:spacing w:line="360" w:lineRule="auto"/>
        <w:ind w:firstLine="480" w:firstLineChars="200"/>
        <w:rPr>
          <w:rFonts w:hint="eastAsia" w:ascii="仿宋" w:hAnsi="仿宋" w:eastAsia="仿宋" w:cs="仿宋"/>
          <w:color w:val="auto"/>
          <w:sz w:val="24"/>
          <w:szCs w:val="22"/>
          <w:highlight w:val="none"/>
        </w:rPr>
      </w:pPr>
      <w:r>
        <w:rPr>
          <w:rFonts w:hint="eastAsia" w:ascii="仿宋" w:hAnsi="仿宋" w:eastAsia="仿宋" w:cs="仿宋"/>
          <w:color w:val="auto"/>
          <w:sz w:val="24"/>
          <w:highlight w:val="none"/>
        </w:rPr>
        <w:t>因乙方履行义务存在瑕疵却未及时书面通知甲方，给甲方造成的损失由乙方承担。乙方未履行通知义务不影响甲方自行判断乙方履行情况并行使合同解除权</w:t>
      </w:r>
      <w:r>
        <w:rPr>
          <w:rFonts w:hint="eastAsia" w:ascii="仿宋" w:hAnsi="仿宋" w:eastAsia="仿宋" w:cs="仿宋"/>
          <w:color w:val="auto"/>
          <w:sz w:val="24"/>
          <w:szCs w:val="22"/>
          <w:highlight w:val="none"/>
        </w:rPr>
        <w:t>等相关权利。</w:t>
      </w:r>
    </w:p>
    <w:p w14:paraId="01054F38">
      <w:pPr>
        <w:numPr>
          <w:ilvl w:val="0"/>
          <w:numId w:val="0"/>
        </w:numPr>
        <w:spacing w:line="360" w:lineRule="auto"/>
        <w:ind w:firstLine="480" w:firstLineChars="200"/>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10.</w:t>
      </w:r>
      <w:r>
        <w:rPr>
          <w:rFonts w:hint="eastAsia" w:ascii="仿宋" w:hAnsi="仿宋" w:eastAsia="仿宋" w:cs="仿宋"/>
          <w:color w:val="auto"/>
          <w:sz w:val="24"/>
          <w:szCs w:val="22"/>
          <w:highlight w:val="none"/>
        </w:rPr>
        <w:t>成本补偿和风险分担约定：本项目报价为人民币报价,</w:t>
      </w:r>
      <w:r>
        <w:rPr>
          <w:rFonts w:hint="eastAsia" w:ascii="仿宋" w:hAnsi="仿宋" w:eastAsia="仿宋" w:cs="仿宋"/>
          <w:color w:val="auto"/>
          <w:sz w:val="24"/>
          <w:szCs w:val="24"/>
          <w:highlight w:val="none"/>
          <w:lang w:val="en-US" w:eastAsia="zh-CN"/>
        </w:rPr>
        <w:t>供应商在报价中应完成服务内容所需的全部费用，</w:t>
      </w:r>
      <w:r>
        <w:rPr>
          <w:rFonts w:hint="eastAsia" w:ascii="仿宋" w:hAnsi="仿宋" w:eastAsia="仿宋" w:cs="仿宋"/>
          <w:b w:val="0"/>
          <w:bCs/>
          <w:color w:val="auto"/>
          <w:kern w:val="0"/>
          <w:sz w:val="24"/>
          <w:szCs w:val="24"/>
          <w:highlight w:val="none"/>
          <w:lang w:val="en-US" w:eastAsia="zh-CN" w:bidi="ar"/>
        </w:rPr>
        <w:t>包含但不限于：人员费用、管理费、利润、风险费用、规费、税金及后期服务相关费用等，是完成本项目服务内容的全部价格体现，合同价款不做任何调整。</w:t>
      </w:r>
      <w:r>
        <w:rPr>
          <w:rFonts w:hint="eastAsia" w:ascii="仿宋" w:hAnsi="仿宋" w:eastAsia="仿宋" w:cs="仿宋"/>
          <w:color w:val="auto"/>
          <w:sz w:val="24"/>
          <w:highlight w:val="none"/>
        </w:rPr>
        <w:t>不受国家政策性调价或原材料价格变化及外汇汇率变化的影响，并作为最终结算的唯一依据。</w:t>
      </w:r>
    </w:p>
    <w:p w14:paraId="4BC3E20F">
      <w:pPr>
        <w:spacing w:line="360" w:lineRule="auto"/>
        <w:ind w:firstLine="480" w:firstLineChars="200"/>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违约责任与解决争议的方法：合同执行中发生争议的，当事人双方应协商解决，协商达不成一致时，可向采购人所在地人民法院提请诉讼。</w:t>
      </w:r>
    </w:p>
    <w:p w14:paraId="42E4A124">
      <w:pPr>
        <w:spacing w:line="360" w:lineRule="auto"/>
        <w:ind w:firstLine="480" w:firstLineChars="200"/>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lang w:val="en-US" w:eastAsia="zh-CN"/>
        </w:rPr>
        <w:t>11.</w:t>
      </w:r>
      <w:r>
        <w:rPr>
          <w:rFonts w:hint="eastAsia" w:ascii="仿宋" w:hAnsi="仿宋" w:eastAsia="仿宋" w:cs="仿宋"/>
          <w:color w:val="auto"/>
          <w:sz w:val="24"/>
          <w:szCs w:val="22"/>
          <w:highlight w:val="none"/>
        </w:rPr>
        <w:t>同其他条款：</w:t>
      </w:r>
    </w:p>
    <w:p w14:paraId="3BFEE82F">
      <w:pPr>
        <w:numPr>
          <w:ilvl w:val="0"/>
          <w:numId w:val="0"/>
        </w:numPr>
        <w:spacing w:line="360" w:lineRule="auto"/>
        <w:ind w:firstLine="480" w:firstLineChars="200"/>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lang w:val="en-US" w:eastAsia="zh-CN"/>
        </w:rPr>
        <w:t>1.</w:t>
      </w:r>
      <w:r>
        <w:rPr>
          <w:rFonts w:hint="eastAsia" w:ascii="仿宋" w:hAnsi="仿宋" w:eastAsia="仿宋" w:cs="仿宋"/>
          <w:color w:val="auto"/>
          <w:sz w:val="24"/>
          <w:szCs w:val="22"/>
          <w:highlight w:val="none"/>
        </w:rPr>
        <w:t xml:space="preserve">如有未尽事宜,由双方依法订立补充合同。 </w:t>
      </w:r>
    </w:p>
    <w:p w14:paraId="774A59CA">
      <w:pPr>
        <w:spacing w:line="360" w:lineRule="auto"/>
        <w:ind w:firstLine="480" w:firstLineChars="200"/>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2.合同壹式肆份，自双方签章后生效。双方各执贰份。</w:t>
      </w:r>
    </w:p>
    <w:p w14:paraId="5F7C0F4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保密</w:t>
      </w:r>
      <w:bookmarkStart w:id="1" w:name="_Toc337558738"/>
    </w:p>
    <w:p w14:paraId="1BF6C9F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.1参与招标投标活动的各方应对磋商文件和</w:t>
      </w:r>
      <w:r>
        <w:rPr>
          <w:rFonts w:hint="eastAsia" w:ascii="仿宋" w:hAnsi="仿宋" w:eastAsia="仿宋" w:cs="仿宋"/>
          <w:color w:val="auto"/>
          <w:sz w:val="24"/>
          <w:highlight w:val="none"/>
          <w:lang w:eastAsia="zh-CN"/>
        </w:rPr>
        <w:t>响应文件</w:t>
      </w:r>
      <w:r>
        <w:rPr>
          <w:rFonts w:hint="eastAsia" w:ascii="仿宋" w:hAnsi="仿宋" w:eastAsia="仿宋" w:cs="仿宋"/>
          <w:color w:val="auto"/>
          <w:sz w:val="24"/>
          <w:highlight w:val="none"/>
        </w:rPr>
        <w:t>中的商业和技术等秘密保密，违者应对由此造成的后果承担法律责任。</w:t>
      </w:r>
    </w:p>
    <w:p w14:paraId="5F26341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.2</w:t>
      </w:r>
      <w:bookmarkEnd w:id="1"/>
      <w:r>
        <w:rPr>
          <w:rFonts w:hint="eastAsia" w:ascii="仿宋" w:hAnsi="仿宋" w:eastAsia="仿宋" w:cs="仿宋"/>
          <w:color w:val="auto"/>
          <w:sz w:val="24"/>
          <w:highlight w:val="none"/>
        </w:rPr>
        <w:t>除法律规定或合同另有约定外，未经甲方同意，乙方不得将甲方提供的图纸、文件以及声明需要保密的资料信息等商业秘密泄露给第三方。每发现乙方违反保密义务一次，乙方应向甲方承担【</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】%的违约金，同时，甲方有权单方解除合同并要求乙方赔偿损失</w:t>
      </w:r>
      <w:r>
        <w:rPr>
          <w:rFonts w:hint="eastAsia" w:ascii="仿宋" w:hAnsi="仿宋" w:eastAsia="仿宋" w:cs="仿宋"/>
          <w:color w:val="auto"/>
          <w:sz w:val="24"/>
          <w:highlight w:val="none"/>
          <w:lang w:eastAsia="zh-CN"/>
        </w:rPr>
        <w:t>。</w:t>
      </w:r>
    </w:p>
    <w:p w14:paraId="292EDBC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.3除法律规定或合同另有约定外，未经乙方同意，甲方不得将乙方提供的技术秘密及声明需要保密的资料信息等商业秘密泄露给第三方。</w:t>
      </w:r>
    </w:p>
    <w:p w14:paraId="3A4FE58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其他未尽事宜以甲方与乙方签订的合同条款为准。</w:t>
      </w:r>
    </w:p>
    <w:p w14:paraId="165E02B0">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合同争议的解决：合同执行中发生争议的，当事人双方应协商解决，协商达不成一致时，可向甲方所在地辖区法院提请诉讼。</w:t>
      </w:r>
    </w:p>
    <w:p w14:paraId="324B9504">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lang w:val="zh-CN"/>
        </w:rPr>
        <w:t>本合同自双方</w:t>
      </w:r>
      <w:r>
        <w:rPr>
          <w:rFonts w:hint="eastAsia" w:ascii="仿宋" w:hAnsi="仿宋" w:eastAsia="仿宋" w:cs="仿宋"/>
          <w:color w:val="auto"/>
          <w:sz w:val="24"/>
          <w:highlight w:val="none"/>
        </w:rPr>
        <w:t>法定代表人或授权代表签字并盖公章</w:t>
      </w:r>
      <w:r>
        <w:rPr>
          <w:rFonts w:hint="eastAsia" w:ascii="仿宋" w:hAnsi="仿宋" w:eastAsia="仿宋" w:cs="仿宋"/>
          <w:color w:val="auto"/>
          <w:sz w:val="24"/>
          <w:highlight w:val="none"/>
          <w:lang w:val="zh-CN"/>
        </w:rPr>
        <w:t>之日起生效。本合同未涉事宜双方可协商确定并签订补充协议。补充协议为合同的有效组成部分，与本合同具有同等法律效力。</w:t>
      </w:r>
    </w:p>
    <w:p w14:paraId="5953C14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（以下无正文）</w:t>
      </w:r>
    </w:p>
    <w:p w14:paraId="125A319D">
      <w:pPr>
        <w:numPr>
          <w:ilvl w:val="0"/>
          <w:numId w:val="0"/>
        </w:numPr>
        <w:ind w:leftChars="0"/>
        <w:outlineLvl w:val="9"/>
        <w:rPr>
          <w:rFonts w:hint="eastAsia" w:ascii="仿宋" w:hAnsi="仿宋" w:eastAsia="仿宋" w:cs="仿宋"/>
          <w:color w:val="auto"/>
          <w:highlight w:val="none"/>
        </w:rPr>
      </w:pPr>
    </w:p>
    <w:p w14:paraId="654B41BA">
      <w:pPr>
        <w:rPr>
          <w:rFonts w:hint="eastAsia" w:ascii="仿宋" w:hAnsi="仿宋" w:eastAsia="仿宋" w:cs="仿宋"/>
          <w:color w:val="auto"/>
          <w:highlight w:val="none"/>
        </w:rPr>
      </w:pPr>
    </w:p>
    <w:p w14:paraId="59DED0C7">
      <w:pPr>
        <w:rPr>
          <w:rFonts w:hint="eastAsia" w:ascii="仿宋" w:hAnsi="仿宋" w:eastAsia="仿宋" w:cs="仿宋"/>
          <w:color w:val="auto"/>
          <w:highlight w:val="none"/>
        </w:rPr>
      </w:pPr>
    </w:p>
    <w:p w14:paraId="40AE18D8">
      <w:pPr>
        <w:snapToGrid w:val="0"/>
        <w:spacing w:line="432"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甲  </w:t>
      </w:r>
      <w:r>
        <w:rPr>
          <w:rFonts w:hint="eastAsia" w:ascii="仿宋" w:hAnsi="仿宋" w:eastAsia="仿宋" w:cs="仿宋"/>
          <w:color w:val="auto"/>
          <w:kern w:val="0"/>
          <w:sz w:val="24"/>
          <w:highlight w:val="none"/>
        </w:rPr>
        <w:t>方</w:t>
      </w:r>
      <w:r>
        <w:rPr>
          <w:rFonts w:hint="eastAsia" w:ascii="仿宋" w:hAnsi="仿宋" w:eastAsia="仿宋" w:cs="仿宋"/>
          <w:bCs/>
          <w:color w:val="auto"/>
          <w:sz w:val="24"/>
          <w:highlight w:val="none"/>
        </w:rPr>
        <w:t xml:space="preserve">：（公章）                      乙  </w:t>
      </w:r>
      <w:r>
        <w:rPr>
          <w:rFonts w:hint="eastAsia" w:ascii="仿宋" w:hAnsi="仿宋" w:eastAsia="仿宋" w:cs="仿宋"/>
          <w:color w:val="auto"/>
          <w:kern w:val="0"/>
          <w:sz w:val="24"/>
          <w:highlight w:val="none"/>
        </w:rPr>
        <w:t>方</w:t>
      </w:r>
      <w:r>
        <w:rPr>
          <w:rFonts w:hint="eastAsia" w:ascii="仿宋" w:hAnsi="仿宋" w:eastAsia="仿宋" w:cs="仿宋"/>
          <w:bCs/>
          <w:color w:val="auto"/>
          <w:sz w:val="24"/>
          <w:highlight w:val="none"/>
        </w:rPr>
        <w:t>：（公章）</w:t>
      </w:r>
    </w:p>
    <w:p w14:paraId="3679B38E">
      <w:pPr>
        <w:snapToGrid w:val="0"/>
        <w:spacing w:line="432"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地  址：                             地  址：</w:t>
      </w:r>
    </w:p>
    <w:p w14:paraId="700F1D96">
      <w:pPr>
        <w:snapToGrid w:val="0"/>
        <w:spacing w:line="432"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社会统一信用代码：                   社会统一信用代码：</w:t>
      </w:r>
    </w:p>
    <w:p w14:paraId="7768E0F3">
      <w:pPr>
        <w:tabs>
          <w:tab w:val="left" w:pos="540"/>
        </w:tabs>
        <w:snapToGrid w:val="0"/>
        <w:spacing w:line="432"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法定代表人或其授权                   法定代表人或其授权</w:t>
      </w:r>
    </w:p>
    <w:p w14:paraId="2A046E58">
      <w:pPr>
        <w:tabs>
          <w:tab w:val="left" w:pos="540"/>
        </w:tabs>
        <w:snapToGrid w:val="0"/>
        <w:spacing w:line="432"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的代理人（签字）                     的代理人(签字)</w:t>
      </w:r>
    </w:p>
    <w:p w14:paraId="4BBB6CD3">
      <w:pPr>
        <w:tabs>
          <w:tab w:val="left" w:pos="5040"/>
        </w:tabs>
        <w:snapToGrid w:val="0"/>
        <w:spacing w:line="432"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电    话：                           电    话：</w:t>
      </w:r>
    </w:p>
    <w:p w14:paraId="735CB36C">
      <w:pPr>
        <w:snapToGrid w:val="0"/>
        <w:spacing w:line="432"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传    真：                           传    真：</w:t>
      </w:r>
    </w:p>
    <w:p w14:paraId="659AFB45">
      <w:pPr>
        <w:snapToGrid w:val="0"/>
        <w:spacing w:line="432"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邮政编码：                           开户银行：</w:t>
      </w:r>
    </w:p>
    <w:p w14:paraId="529CC21F">
      <w:pPr>
        <w:snapToGrid w:val="0"/>
        <w:spacing w:line="432" w:lineRule="auto"/>
        <w:ind w:firstLine="1680" w:firstLineChars="7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                           账    号：</w:t>
      </w:r>
    </w:p>
    <w:p w14:paraId="2AFE1AF7">
      <w:pPr>
        <w:pStyle w:val="6"/>
        <w:rPr>
          <w:rFonts w:hint="eastAsia" w:ascii="仿宋" w:hAnsi="仿宋" w:eastAsia="仿宋" w:cs="仿宋"/>
          <w:color w:val="auto"/>
          <w:highlight w:val="none"/>
          <w:lang w:val="en-US" w:eastAsia="zh-Hans"/>
        </w:rPr>
      </w:pPr>
      <w:r>
        <w:rPr>
          <w:rFonts w:hint="eastAsia" w:ascii="仿宋" w:hAnsi="仿宋" w:eastAsia="仿宋" w:cs="仿宋"/>
          <w:bCs/>
          <w:color w:val="auto"/>
          <w:sz w:val="24"/>
          <w:highlight w:val="none"/>
        </w:rPr>
        <w:t xml:space="preserve">                  </w:t>
      </w: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rPr>
        <w:t>邮政编码：</w:t>
      </w:r>
    </w:p>
    <w:p w14:paraId="639F0AAD">
      <w:pPr>
        <w:rPr>
          <w:color w:val="auto"/>
          <w:highlight w:val="none"/>
        </w:rPr>
      </w:pPr>
    </w:p>
    <w:bookmarkEnd w:id="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6F2A15"/>
    <w:multiLevelType w:val="singleLevel"/>
    <w:tmpl w:val="A26F2A1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7438B9"/>
    <w:rsid w:val="6D743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Indent 2"/>
    <w:basedOn w:val="1"/>
    <w:qFormat/>
    <w:uiPriority w:val="0"/>
    <w:pPr>
      <w:spacing w:after="120" w:afterLines="0" w:line="480" w:lineRule="auto"/>
      <w:ind w:left="420" w:leftChars="200"/>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2025-10-23T11:01:00Z</dcterms:created>
  <dc:creator>樱桃小晨子 </dc:creator>
  <cp:lastModifiedBy>樱桃小晨子 </cp:lastModifiedBy>
  <dcterms:modified xsi:type="dcterms:W3CDTF">2025-10-23T11:01:29Z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7E33A3098E2E426CA397C26C825BB022_11</vt:lpwstr>
  </property>
  <property fmtid="{D5CDD505-2E9C-101B-9397-08002B2CF9AE}" pid="4" name="KSOTemplateDocerSaveRecord">
    <vt:lpwstr>eyJoZGlkIjoiM2M3YzY2MTJlM2NiOWMzYTQ2OTAxM2ExNTQ1NzRkYTQiLCJ1c2VySWQiOiIxMjkzNTU3MjkzIn0=</vt:lpwstr>
  </property>
</Properties>
</file>