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版本号：KY2025-1-819.20251022001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陕西省医疗保障信息平台骨干网链路（主用）租赁项目(二次)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KY2025-1-819.</w:t>
      </w:r>
      <w:r>
        <w:br/>
      </w:r>
      <w:r>
        <w:br/>
      </w:r>
      <w:r>
        <w:br/>
      </w:r>
    </w:p>
    <w:p>
      <w:pPr>
        <w:pStyle w:val="null3"/>
        <w:jc w:val="center"/>
        <w:outlineLvl w:val="2"/>
      </w:pPr>
      <w:r>
        <w:rPr>
          <w:rFonts w:ascii="仿宋_GB2312" w:hAnsi="仿宋_GB2312" w:cs="仿宋_GB2312" w:eastAsia="仿宋_GB2312"/>
          <w:sz w:val="28"/>
          <w:b/>
        </w:rPr>
        <w:t>陕西省医疗保障技术服务中心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陕西省医疗保障技术服务中心</w:t>
      </w:r>
      <w:r>
        <w:rPr>
          <w:rFonts w:ascii="仿宋_GB2312" w:hAnsi="仿宋_GB2312" w:cs="仿宋_GB2312" w:eastAsia="仿宋_GB2312"/>
        </w:rPr>
        <w:t>委托，拟对</w:t>
      </w:r>
      <w:r>
        <w:rPr>
          <w:rFonts w:ascii="仿宋_GB2312" w:hAnsi="仿宋_GB2312" w:cs="仿宋_GB2312" w:eastAsia="仿宋_GB2312"/>
        </w:rPr>
        <w:t>陕西省医疗保障信息平台骨干网链路（主用）租赁项目(二次)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KY2025-1-819.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陕西省医疗保障信息平台骨干网链路（主用）租赁项目(二次)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陕西省医疗保障信息平台骨干网链路（主用）租赁项目，具体内容详见招标文件第3章。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陕西省医疗保障技术服务中心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雁塔区锦业一路60号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029-61320021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采购包1：5,464,100.00元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代理服务费收费标准：参照国家计委《招标代理服务费收费管理暂行办法（计价格〔2002〕1980号）的标准下浮10%收取。本项目代理服务费按服务计取。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陕西省医疗保障技术服务中心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陕西省医疗保障技术服务中心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陕西省医疗保障技术服务中心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1、项目背景 以新时代中国特色社会主义思想为指导，深入贯彻党的十九大和十九届二中、三中全会精神，按照党中央、国务院的决策部署，落实陕西省委十三届四次全会、全国医疗保障工作会议安排部署，通过本次医保信息化平台的建设，提高医保行业标准化、智能化及信息化水平，推动陕西省医保事业发展，推动医保、医疗、医药改革联动，加快践行统一高效的全民医疗保障制度，更好地满足人民群众日益增长的医疗保障需求，推进健康陕西建设，助推新时代陕西落实“五新”战略任务。 按照国家医保局标准全国统一、数据两级集中、平台分级部署、网络全面覆盖的医疗保障信息化建设要求，结合陕西省实际业务需求及发展情况，通过采用先进、成熟、稳定、可靠的信息化技术，采取省级大集中的建设模式，建设全省统一的医疗保障信息平台，推动陕西省医疗保障工作。通过全国一盘棋的建设模式，共同构筑起起医保便捷可及“大服务”、规范高效“大经办”、智能精准“大治理”、融合共享“大协作”、在线可用“大数据”、安全可靠“大支撑”的信息化支撑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5,464,100.00</w:t>
      </w:r>
    </w:p>
    <w:p>
      <w:pPr>
        <w:pStyle w:val="null3"/>
      </w:pPr>
      <w:r>
        <w:rPr>
          <w:rFonts w:ascii="仿宋_GB2312" w:hAnsi="仿宋_GB2312" w:cs="仿宋_GB2312" w:eastAsia="仿宋_GB2312"/>
        </w:rPr>
        <w:t>采购包最高限价（元）: 5,464,100.00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陕西省医疗保障信息平台骨干网链路 （主用）租赁项目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标的名称：陕西省医疗保障信息平台骨干网链路 （主用）租赁项目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（一）采购清单</w:t>
            </w:r>
          </w:p>
          <w:p>
            <w:pPr>
              <w:pStyle w:val="null3"/>
            </w:pPr>
            <w:r>
              <w:rPr>
                <w:rFonts w:ascii="仿宋_GB2312" w:hAnsi="仿宋_GB2312" w:cs="仿宋_GB2312" w:eastAsia="仿宋_GB2312"/>
                <w:sz w:val="21"/>
              </w:rPr>
              <w:t>1. 专线链路清单</w:t>
            </w:r>
          </w:p>
          <w:tbl>
            <w:tblPr>
              <w:tblInd w:type="dxa" w:w="120"/>
              <w:tblBorders>
                <w:top w:val="none" w:color="000000" w:sz="4"/>
                <w:left w:val="none" w:color="000000" w:sz="4"/>
                <w:bottom w:val="none" w:color="000000" w:sz="4"/>
                <w:right w:val="none" w:color="000000" w:sz="4"/>
                <w:insideH w:val="none"/>
                <w:insideV w:val="none"/>
              </w:tblBorders>
            </w:tblPr>
            <w:tblGrid>
              <w:gridCol w:w="399"/>
              <w:gridCol w:w="945"/>
              <w:gridCol w:w="637"/>
              <w:gridCol w:w="571"/>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链路类型</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同城专线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45"/>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45"/>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45"/>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跨地市专线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VPN专线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VPDN专线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数据中心互联专线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10GB</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99"/>
                  <w:vMerge/>
                  <w:tcBorders>
                    <w:top w:val="none" w:color="000000" w:sz="4"/>
                    <w:left w:val="single" w:color="000000" w:sz="4"/>
                    <w:bottom w:val="single" w:color="000000" w:sz="4"/>
                    <w:right w:val="single" w:color="000000" w:sz="4"/>
                  </w:tcBorders>
                </w:tcPr>
                <w:p/>
              </w:tc>
              <w:tc>
                <w:tcPr>
                  <w:tcW w:type="dxa" w:w="945"/>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2GB</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r>
          </w:tbl>
          <w:p>
            <w:pPr>
              <w:pStyle w:val="null3"/>
            </w:pPr>
            <w:r>
              <w:rPr>
                <w:rFonts w:ascii="仿宋_GB2312" w:hAnsi="仿宋_GB2312" w:cs="仿宋_GB2312" w:eastAsia="仿宋_GB2312"/>
                <w:sz w:val="21"/>
              </w:rPr>
              <w:t>（二）技术参数要求</w:t>
            </w:r>
          </w:p>
          <w:p>
            <w:pPr>
              <w:pStyle w:val="null3"/>
            </w:pPr>
            <w:r>
              <w:rPr>
                <w:rFonts w:ascii="仿宋_GB2312" w:hAnsi="仿宋_GB2312" w:cs="仿宋_GB2312" w:eastAsia="仿宋_GB2312"/>
                <w:sz w:val="21"/>
              </w:rPr>
              <w:t>1.专线链路技术要求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1）A、B中心互联专线技术要求</w:t>
            </w:r>
          </w:p>
          <w:p>
            <w:pPr>
              <w:pStyle w:val="null3"/>
            </w:pPr>
            <w:r>
              <w:rPr>
                <w:rFonts w:ascii="仿宋_GB2312" w:hAnsi="仿宋_GB2312" w:cs="仿宋_GB2312" w:eastAsia="仿宋_GB2312"/>
                <w:sz w:val="21"/>
              </w:rPr>
              <w:t>供应商需提供数据中心</w:t>
            </w:r>
            <w:r>
              <w:rPr>
                <w:rFonts w:ascii="仿宋_GB2312" w:hAnsi="仿宋_GB2312" w:cs="仿宋_GB2312" w:eastAsia="仿宋_GB2312"/>
                <w:sz w:val="21"/>
              </w:rPr>
              <w:t>A与数据中心B互联的5条10GB OTN专线链路及2条2GB OTN专线链路：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17"/>
              <w:gridCol w:w="317"/>
              <w:gridCol w:w="600"/>
              <w:gridCol w:w="600"/>
              <w:gridCol w:w="417"/>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核心业务区主</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核心业务区备</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公共服务区主</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公共服务区备</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骨干网路由器主</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骨干网路由器主</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10GE</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备用</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404"/>
              <w:gridCol w:w="414"/>
              <w:gridCol w:w="440"/>
              <w:gridCol w:w="1295"/>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类型</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OTN专线</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传输指标</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传输延时</w:t>
                  </w:r>
                  <w:r>
                    <w:rPr>
                      <w:rFonts w:ascii="仿宋_GB2312" w:hAnsi="仿宋_GB2312" w:cs="仿宋_GB2312" w:eastAsia="仿宋_GB2312"/>
                      <w:sz w:val="21"/>
                    </w:rPr>
                    <w:t>≤1.5ms</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业务恢复时限指标</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业务恢复时限</w:t>
                  </w:r>
                  <w:r>
                    <w:rPr>
                      <w:rFonts w:ascii="仿宋_GB2312" w:hAnsi="仿宋_GB2312" w:cs="仿宋_GB2312" w:eastAsia="仿宋_GB2312"/>
                      <w:sz w:val="21"/>
                    </w:rPr>
                    <w:t>≤ 2小时。</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开通时间指标</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完成全部开通时间为签订合同之日起</w:t>
                  </w:r>
                  <w:r>
                    <w:rPr>
                      <w:rFonts w:ascii="仿宋_GB2312" w:hAnsi="仿宋_GB2312" w:cs="仿宋_GB2312" w:eastAsia="仿宋_GB2312"/>
                      <w:sz w:val="21"/>
                    </w:rPr>
                    <w:t>15个工作日内。</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1.供应商需提供所需波分设备端口及非同路由备用纤芯；</w:t>
                  </w:r>
                </w:p>
                <w:p>
                  <w:pPr>
                    <w:pStyle w:val="null3"/>
                  </w:pPr>
                  <w:r>
                    <w:rPr>
                      <w:rFonts w:ascii="仿宋_GB2312" w:hAnsi="仿宋_GB2312" w:cs="仿宋_GB2312" w:eastAsia="仿宋_GB2312"/>
                      <w:sz w:val="21"/>
                    </w:rPr>
                    <w:t>2.供应商需提供骨干网实时监控数据至招标方指定机房。</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2）跨地市专线技术要求</w:t>
            </w:r>
          </w:p>
          <w:p>
            <w:pPr>
              <w:pStyle w:val="null3"/>
            </w:pPr>
            <w:r>
              <w:rPr>
                <w:rFonts w:ascii="仿宋_GB2312" w:hAnsi="仿宋_GB2312" w:cs="仿宋_GB2312" w:eastAsia="仿宋_GB2312"/>
                <w:sz w:val="21"/>
              </w:rPr>
              <w:t>供应商需提供数据中心</w:t>
            </w:r>
            <w:r>
              <w:rPr>
                <w:rFonts w:ascii="仿宋_GB2312" w:hAnsi="仿宋_GB2312" w:cs="仿宋_GB2312" w:eastAsia="仿宋_GB2312"/>
                <w:sz w:val="21"/>
              </w:rPr>
              <w:t>A至各地市（除西安）汇聚结点的 11 条跨地市专线链路，数据中心A、数据中心B至灾备中心的 2条跨地市专线链路：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00"/>
              <w:gridCol w:w="330"/>
              <w:gridCol w:w="600"/>
              <w:gridCol w:w="600"/>
              <w:gridCol w:w="420"/>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宝鸡市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咸阳市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铜川市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商洛市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安康市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延安市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榆林市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杨凌示范区</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韩城市</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灾备中心</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灾备中心至联数据中心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0"/>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灾备中心至联数据中心</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364"/>
              <w:gridCol w:w="364"/>
              <w:gridCol w:w="364"/>
              <w:gridCol w:w="1460"/>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专线速率指标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数据中心</w:t>
                  </w:r>
                  <w:r>
                    <w:rPr>
                      <w:rFonts w:ascii="仿宋_GB2312" w:hAnsi="仿宋_GB2312" w:cs="仿宋_GB2312" w:eastAsia="仿宋_GB2312"/>
                      <w:sz w:val="21"/>
                    </w:rPr>
                    <w:t>A、数据中心B到各地市汇聚结点的速率满足上表要求，上下行速率对等。</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专线抗风险指标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供应商提供的电路具有自愈保护功能，在光纤损坏、光接口损坏情况下，租用的电路单条链路可用率</w:t>
                  </w:r>
                  <w:r>
                    <w:rPr>
                      <w:rFonts w:ascii="仿宋_GB2312" w:hAnsi="仿宋_GB2312" w:cs="仿宋_GB2312" w:eastAsia="仿宋_GB2312"/>
                      <w:sz w:val="21"/>
                    </w:rPr>
                    <w:t>≥99.9%。要求线路具有强生存性，有保护功能以具相当的抵抗电路故障、设备故障及环境风险的能力。必须提供多路由冗余备份。</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专线冗余链路指标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全光纤的接入方式，核心点必须具备两条不同物理路由的光缆资源，安装大容量光端机设备，实现双物理路由双上联局向的传输保护，组成自愈环网，即在一个方向的光纤断掉后不影响所租电路的正常使用，主干环路切换时间</w:t>
                  </w:r>
                  <w:r>
                    <w:rPr>
                      <w:rFonts w:ascii="仿宋_GB2312" w:hAnsi="仿宋_GB2312" w:cs="仿宋_GB2312" w:eastAsia="仿宋_GB2312"/>
                      <w:sz w:val="19"/>
                    </w:rPr>
                    <w:t>≤</w:t>
                  </w:r>
                  <w:r>
                    <w:rPr>
                      <w:rFonts w:ascii="仿宋_GB2312" w:hAnsi="仿宋_GB2312" w:cs="仿宋_GB2312" w:eastAsia="仿宋_GB2312"/>
                      <w:sz w:val="21"/>
                    </w:rPr>
                    <w:t>50ms。分支点也必须采用光缆接入。</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吞吐量指标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吞吐量（</w:t>
                  </w:r>
                  <w:r>
                    <w:rPr>
                      <w:rFonts w:ascii="仿宋_GB2312" w:hAnsi="仿宋_GB2312" w:cs="仿宋_GB2312" w:eastAsia="仿宋_GB2312"/>
                      <w:sz w:val="21"/>
                    </w:rPr>
                    <w:t>Throughput）≥实际需求带宽（合格值）</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丢包率指标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丢包率（</w:t>
                  </w:r>
                  <w:r>
                    <w:rPr>
                      <w:rFonts w:ascii="仿宋_GB2312" w:hAnsi="仿宋_GB2312" w:cs="仿宋_GB2312" w:eastAsia="仿宋_GB2312"/>
                      <w:sz w:val="21"/>
                    </w:rPr>
                    <w:t>Frame Loss）≤0.1%（合格值）</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误码率指标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在规定条件范围内工作时，自环连续测试</w:t>
                  </w:r>
                  <w:r>
                    <w:rPr>
                      <w:rFonts w:ascii="仿宋_GB2312" w:hAnsi="仿宋_GB2312" w:cs="仿宋_GB2312" w:eastAsia="仿宋_GB2312"/>
                      <w:sz w:val="21"/>
                    </w:rPr>
                    <w:t>24小时应无误码。</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专线传输指标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1）本地链路延时≤10ms；</w:t>
                  </w:r>
                </w:p>
                <w:p>
                  <w:pPr>
                    <w:pStyle w:val="null3"/>
                  </w:pPr>
                  <w:r>
                    <w:rPr>
                      <w:rFonts w:ascii="仿宋_GB2312" w:hAnsi="仿宋_GB2312" w:cs="仿宋_GB2312" w:eastAsia="仿宋_GB2312"/>
                      <w:sz w:val="21"/>
                    </w:rPr>
                    <w:t>2) 长途链路每100公里的延时增加≤1ms；</w:t>
                  </w:r>
                </w:p>
                <w:p>
                  <w:pPr>
                    <w:pStyle w:val="null3"/>
                  </w:pPr>
                  <w:r>
                    <w:rPr>
                      <w:rFonts w:ascii="仿宋_GB2312" w:hAnsi="仿宋_GB2312" w:cs="仿宋_GB2312" w:eastAsia="仿宋_GB2312"/>
                      <w:sz w:val="21"/>
                    </w:rPr>
                    <w:t>3）端到端链路的传输比特差错≤ 1.0×10</w:t>
                  </w:r>
                  <w:r>
                    <w:rPr>
                      <w:rFonts w:ascii="仿宋_GB2312" w:hAnsi="仿宋_GB2312" w:cs="仿宋_GB2312" w:eastAsia="仿宋_GB2312"/>
                      <w:sz w:val="21"/>
                      <w:vertAlign w:val="superscript"/>
                    </w:rPr>
                    <w:t>-7</w:t>
                  </w:r>
                  <w:r>
                    <w:rPr>
                      <w:rFonts w:ascii="仿宋_GB2312" w:hAnsi="仿宋_GB2312" w:cs="仿宋_GB2312" w:eastAsia="仿宋_GB2312"/>
                      <w:sz w:val="21"/>
                    </w:rPr>
                    <w:t>；</w:t>
                  </w:r>
                </w:p>
                <w:p>
                  <w:pPr>
                    <w:pStyle w:val="null3"/>
                  </w:pPr>
                  <w:r>
                    <w:rPr>
                      <w:rFonts w:ascii="仿宋_GB2312" w:hAnsi="仿宋_GB2312" w:cs="仿宋_GB2312" w:eastAsia="仿宋_GB2312"/>
                      <w:sz w:val="21"/>
                    </w:rPr>
                    <w:t>4）封包成功率≥99.999%；</w:t>
                  </w:r>
                </w:p>
                <w:p>
                  <w:pPr>
                    <w:pStyle w:val="null3"/>
                  </w:pPr>
                  <w:r>
                    <w:rPr>
                      <w:rFonts w:ascii="仿宋_GB2312" w:hAnsi="仿宋_GB2312" w:cs="仿宋_GB2312" w:eastAsia="仿宋_GB2312"/>
                      <w:sz w:val="21"/>
                    </w:rPr>
                    <w:t>5）抖动≤2ms；</w:t>
                  </w:r>
                </w:p>
                <w:p>
                  <w:pPr>
                    <w:pStyle w:val="null3"/>
                  </w:pPr>
                  <w:r>
                    <w:rPr>
                      <w:rFonts w:ascii="仿宋_GB2312" w:hAnsi="仿宋_GB2312" w:cs="仿宋_GB2312" w:eastAsia="仿宋_GB2312"/>
                      <w:sz w:val="21"/>
                    </w:rPr>
                    <w:t>6）链路通道ES（误码秒数）≤6 个/2 小时，链路通道SES（严重误码秒数）≤6 个/2小时。</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专线不可用指标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不可用时间</w:t>
                  </w:r>
                  <w:r>
                    <w:rPr>
                      <w:rFonts w:ascii="仿宋_GB2312" w:hAnsi="仿宋_GB2312" w:cs="仿宋_GB2312" w:eastAsia="仿宋_GB2312"/>
                      <w:sz w:val="21"/>
                    </w:rPr>
                    <w:t>≤ 10小时/年。</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单条链路断网指标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单条链路断网次数</w:t>
                  </w:r>
                  <w:r>
                    <w:rPr>
                      <w:rFonts w:ascii="仿宋_GB2312" w:hAnsi="仿宋_GB2312" w:cs="仿宋_GB2312" w:eastAsia="仿宋_GB2312"/>
                      <w:sz w:val="21"/>
                    </w:rPr>
                    <w:t>≤ 5次/年。火灾、市政施工、洪水等不可控因素除外。</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专线业务恢复时限指标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业务恢复时限</w:t>
                  </w:r>
                  <w:r>
                    <w:rPr>
                      <w:rFonts w:ascii="仿宋_GB2312" w:hAnsi="仿宋_GB2312" w:cs="仿宋_GB2312" w:eastAsia="仿宋_GB2312"/>
                      <w:sz w:val="21"/>
                    </w:rPr>
                    <w:t>≤ 2小时。</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数字线路通信质量指标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满足</w:t>
                  </w:r>
                  <w:r>
                    <w:rPr>
                      <w:rFonts w:ascii="仿宋_GB2312" w:hAnsi="仿宋_GB2312" w:cs="仿宋_GB2312" w:eastAsia="仿宋_GB2312"/>
                      <w:sz w:val="19"/>
                    </w:rPr>
                    <w:t>《</w:t>
                  </w:r>
                  <w:r>
                    <w:rPr>
                      <w:rFonts w:ascii="仿宋_GB2312" w:hAnsi="仿宋_GB2312" w:cs="仿宋_GB2312" w:eastAsia="仿宋_GB2312"/>
                      <w:sz w:val="19"/>
                    </w:rPr>
                    <w:t>GB/T 45250-2025电信和互联网服务 标准化工作指南》</w:t>
                  </w:r>
                  <w:r>
                    <w:rPr>
                      <w:rFonts w:ascii="仿宋_GB2312" w:hAnsi="仿宋_GB2312" w:cs="仿宋_GB2312" w:eastAsia="仿宋_GB2312"/>
                      <w:sz w:val="21"/>
                    </w:rPr>
                    <w:t>中有关数字线路的通信质量指标的规定。</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供应商提供的网络必须具有很强的安全性，确保业务数据传输的安全，具有完善的安全保障措施，实现接入链路的端到端全程监控管理，充分保障用户电路的安全可靠性，及电路开通和调配的及时性和灵活性。</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可扩展能力指标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供应商提供的网络必须具备可扩展能力，能够适应招标人网络结构的变化，具有灵活的带宽伸缩能力，满足业务发展的需要。</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开通时间指标</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完成全部开通时间为签订合同之日起</w:t>
                  </w:r>
                  <w:r>
                    <w:rPr>
                      <w:rFonts w:ascii="仿宋_GB2312" w:hAnsi="仿宋_GB2312" w:cs="仿宋_GB2312" w:eastAsia="仿宋_GB2312"/>
                      <w:sz w:val="21"/>
                    </w:rPr>
                    <w:t>15个工作日内。</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1.供应商需提供除西安外11个地市所需网络设备及管理权限：每地市4台48口千兆业务接入交换机、4台出口路由器、2台下一代防火墙、2</w:t>
                  </w:r>
                  <w:r>
                    <w:rPr>
                      <w:rFonts w:ascii="仿宋_GB2312" w:hAnsi="仿宋_GB2312" w:cs="仿宋_GB2312" w:eastAsia="仿宋_GB2312"/>
                      <w:sz w:val="21"/>
                    </w:rPr>
                    <w:t>台</w:t>
                  </w:r>
                  <w:r>
                    <w:rPr>
                      <w:rFonts w:ascii="仿宋_GB2312" w:hAnsi="仿宋_GB2312" w:cs="仿宋_GB2312" w:eastAsia="仿宋_GB2312"/>
                      <w:sz w:val="21"/>
                    </w:rPr>
                    <w:t>VPN防火墙及相应机架及电源配套，规模参数满足招标人要求；</w:t>
                  </w:r>
                  <w:r>
                    <w:rPr>
                      <w:rFonts w:ascii="仿宋_GB2312" w:hAnsi="仿宋_GB2312" w:cs="仿宋_GB2312" w:eastAsia="仿宋_GB2312"/>
                      <w:sz w:val="21"/>
                    </w:rPr>
                    <w:t>（提供</w:t>
                  </w:r>
                  <w:r>
                    <w:rPr>
                      <w:rFonts w:ascii="仿宋_GB2312" w:hAnsi="仿宋_GB2312" w:cs="仿宋_GB2312" w:eastAsia="仿宋_GB2312"/>
                      <w:sz w:val="21"/>
                    </w:rPr>
                    <w:t>证明材料或</w:t>
                  </w:r>
                  <w:r>
                    <w:rPr>
                      <w:rFonts w:ascii="仿宋_GB2312" w:hAnsi="仿宋_GB2312" w:cs="仿宋_GB2312" w:eastAsia="仿宋_GB2312"/>
                      <w:sz w:val="21"/>
                    </w:rPr>
                    <w:t>承诺书）</w:t>
                  </w:r>
                </w:p>
                <w:p>
                  <w:pPr>
                    <w:pStyle w:val="null3"/>
                  </w:pPr>
                  <w:r>
                    <w:rPr>
                      <w:rFonts w:ascii="仿宋_GB2312" w:hAnsi="仿宋_GB2312" w:cs="仿宋_GB2312" w:eastAsia="仿宋_GB2312"/>
                      <w:sz w:val="21"/>
                    </w:rPr>
                    <w:t>2.供应商需提供骨干网实时监控数据至招标人指定机房。</w:t>
                  </w:r>
                </w:p>
                <w:p>
                  <w:pPr>
                    <w:pStyle w:val="null3"/>
                  </w:pPr>
                  <w:r>
                    <w:rPr>
                      <w:rFonts w:ascii="仿宋_GB2312" w:hAnsi="仿宋_GB2312" w:cs="仿宋_GB2312" w:eastAsia="仿宋_GB2312"/>
                      <w:sz w:val="21"/>
                    </w:rPr>
                    <w:t>（提供</w:t>
                  </w:r>
                  <w:r>
                    <w:rPr>
                      <w:rFonts w:ascii="仿宋_GB2312" w:hAnsi="仿宋_GB2312" w:cs="仿宋_GB2312" w:eastAsia="仿宋_GB2312"/>
                      <w:sz w:val="21"/>
                    </w:rPr>
                    <w:t>证明材料或</w:t>
                  </w:r>
                  <w:r>
                    <w:rPr>
                      <w:rFonts w:ascii="仿宋_GB2312" w:hAnsi="仿宋_GB2312" w:cs="仿宋_GB2312" w:eastAsia="仿宋_GB2312"/>
                      <w:sz w:val="21"/>
                    </w:rPr>
                    <w:t>承诺书）</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3）同城专线技术要求</w:t>
            </w:r>
          </w:p>
          <w:p>
            <w:pPr>
              <w:pStyle w:val="null3"/>
            </w:pPr>
            <w:r>
              <w:rPr>
                <w:rFonts w:ascii="仿宋_GB2312" w:hAnsi="仿宋_GB2312" w:cs="仿宋_GB2312" w:eastAsia="仿宋_GB2312"/>
                <w:sz w:val="21"/>
              </w:rPr>
              <w:t>供应商需提供数据中心</w:t>
            </w:r>
            <w:r>
              <w:rPr>
                <w:rFonts w:ascii="仿宋_GB2312" w:hAnsi="仿宋_GB2312" w:cs="仿宋_GB2312" w:eastAsia="仿宋_GB2312"/>
                <w:sz w:val="21"/>
              </w:rPr>
              <w:t>A至西安市、省医保局、省医保经办服务中心、省医保基金中心、省人社信息中心、省政务中心、电子政务外网及税务机房的8条专线链路；提供数据中心B至省医保经办服务中心、省人社信息中心及电子政务外网的3条专线链路；提供各地市市上联路由器横联（异运营商之间）的12条专线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10"/>
              <w:gridCol w:w="300"/>
              <w:gridCol w:w="513"/>
              <w:gridCol w:w="482"/>
              <w:gridCol w:w="646"/>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地市上联数据中心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省医保局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省医保基金中心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省医保经办服务中心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0"/>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省人社信息中心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0"/>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省政务中心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公共资源交易中心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电子政务外网</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至国家局及省级政务共享部门链路</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电子政务外网</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至国家局及省级政务共享部门链路</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税务机房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省级单位至数据中心</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1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各地市市上联路由器横联链路</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市级异运营商骨干网横穿链路</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386"/>
              <w:gridCol w:w="360"/>
              <w:gridCol w:w="1445"/>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专线速率指标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数据中心</w:t>
                  </w:r>
                  <w:r>
                    <w:rPr>
                      <w:rFonts w:ascii="仿宋_GB2312" w:hAnsi="仿宋_GB2312" w:cs="仿宋_GB2312" w:eastAsia="仿宋_GB2312"/>
                      <w:sz w:val="21"/>
                    </w:rPr>
                    <w:t>A、数据中心B到各地市汇聚结点的速率满足上表要求，上下行速率对等。</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专线抗风险指标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供应商提供的电路具有自愈保护功能，在光纤损坏、光接口损坏情况下，租用的电路单条链路可用率</w:t>
                  </w:r>
                  <w:r>
                    <w:rPr>
                      <w:rFonts w:ascii="仿宋_GB2312" w:hAnsi="仿宋_GB2312" w:cs="仿宋_GB2312" w:eastAsia="仿宋_GB2312"/>
                      <w:sz w:val="21"/>
                    </w:rPr>
                    <w:t>≥99.9%。要求线路具有强生存性，有保护功能以具相当的抵抗电路故障、设备故障及环境风险的能力。必须提供多路由冗余备份。</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专线冗余链路指标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全光纤的接入方式，核心点必须具备两条不同物理路由的光缆资源，安装大容量光端机设备，实现双物理路由双上联局向的传输保护，组成自愈环网，即在一个方向的光纤断掉后不影响所租电路的正常使用，主干环路切换时间</w:t>
                  </w:r>
                  <w:r>
                    <w:rPr>
                      <w:rFonts w:ascii="仿宋_GB2312" w:hAnsi="仿宋_GB2312" w:cs="仿宋_GB2312" w:eastAsia="仿宋_GB2312"/>
                      <w:sz w:val="19"/>
                    </w:rPr>
                    <w:t>≤</w:t>
                  </w:r>
                  <w:r>
                    <w:rPr>
                      <w:rFonts w:ascii="仿宋_GB2312" w:hAnsi="仿宋_GB2312" w:cs="仿宋_GB2312" w:eastAsia="仿宋_GB2312"/>
                      <w:sz w:val="21"/>
                    </w:rPr>
                    <w:t>50ms。分支点也必须采用光缆接入。</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吞吐量指标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吞吐量（</w:t>
                  </w:r>
                  <w:r>
                    <w:rPr>
                      <w:rFonts w:ascii="仿宋_GB2312" w:hAnsi="仿宋_GB2312" w:cs="仿宋_GB2312" w:eastAsia="仿宋_GB2312"/>
                      <w:sz w:val="21"/>
                    </w:rPr>
                    <w:t>Throughput）≥实际需求带宽（合格值）</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丢包率指标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丢包率（</w:t>
                  </w:r>
                  <w:r>
                    <w:rPr>
                      <w:rFonts w:ascii="仿宋_GB2312" w:hAnsi="仿宋_GB2312" w:cs="仿宋_GB2312" w:eastAsia="仿宋_GB2312"/>
                      <w:sz w:val="21"/>
                    </w:rPr>
                    <w:t>Frame Loss）≤0.1%（合格值）</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误码率指标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在规定条件范围内工作时，自环连续测试</w:t>
                  </w:r>
                  <w:r>
                    <w:rPr>
                      <w:rFonts w:ascii="仿宋_GB2312" w:hAnsi="仿宋_GB2312" w:cs="仿宋_GB2312" w:eastAsia="仿宋_GB2312"/>
                      <w:sz w:val="21"/>
                    </w:rPr>
                    <w:t>24 小时应无误码</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专线传输指标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1）本地链路延时≤10ms；</w:t>
                  </w:r>
                </w:p>
                <w:p>
                  <w:pPr>
                    <w:pStyle w:val="null3"/>
                  </w:pPr>
                  <w:r>
                    <w:rPr>
                      <w:rFonts w:ascii="仿宋_GB2312" w:hAnsi="仿宋_GB2312" w:cs="仿宋_GB2312" w:eastAsia="仿宋_GB2312"/>
                      <w:sz w:val="21"/>
                    </w:rPr>
                    <w:t>2) 长途链路每100公里的延时增加≤1ms；</w:t>
                  </w:r>
                </w:p>
                <w:p>
                  <w:pPr>
                    <w:pStyle w:val="null3"/>
                  </w:pPr>
                  <w:r>
                    <w:rPr>
                      <w:rFonts w:ascii="仿宋_GB2312" w:hAnsi="仿宋_GB2312" w:cs="仿宋_GB2312" w:eastAsia="仿宋_GB2312"/>
                      <w:sz w:val="21"/>
                    </w:rPr>
                    <w:t>3）端到端链路的传输比特差错≤ 1.0×10</w:t>
                  </w:r>
                  <w:r>
                    <w:rPr>
                      <w:rFonts w:ascii="仿宋_GB2312" w:hAnsi="仿宋_GB2312" w:cs="仿宋_GB2312" w:eastAsia="仿宋_GB2312"/>
                      <w:sz w:val="21"/>
                      <w:vertAlign w:val="superscript"/>
                    </w:rPr>
                    <w:t>-7</w:t>
                  </w:r>
                  <w:r>
                    <w:rPr>
                      <w:rFonts w:ascii="仿宋_GB2312" w:hAnsi="仿宋_GB2312" w:cs="仿宋_GB2312" w:eastAsia="仿宋_GB2312"/>
                      <w:sz w:val="21"/>
                    </w:rPr>
                    <w:t>；</w:t>
                  </w:r>
                </w:p>
                <w:p>
                  <w:pPr>
                    <w:pStyle w:val="null3"/>
                  </w:pPr>
                  <w:r>
                    <w:rPr>
                      <w:rFonts w:ascii="仿宋_GB2312" w:hAnsi="仿宋_GB2312" w:cs="仿宋_GB2312" w:eastAsia="仿宋_GB2312"/>
                      <w:sz w:val="21"/>
                    </w:rPr>
                    <w:t>4）封包成功率≥99.999%；</w:t>
                  </w:r>
                </w:p>
                <w:p>
                  <w:pPr>
                    <w:pStyle w:val="null3"/>
                  </w:pPr>
                  <w:r>
                    <w:rPr>
                      <w:rFonts w:ascii="仿宋_GB2312" w:hAnsi="仿宋_GB2312" w:cs="仿宋_GB2312" w:eastAsia="仿宋_GB2312"/>
                      <w:sz w:val="21"/>
                    </w:rPr>
                    <w:t>5）抖动≤2ms；</w:t>
                  </w:r>
                </w:p>
                <w:p>
                  <w:pPr>
                    <w:pStyle w:val="null3"/>
                  </w:pPr>
                  <w:r>
                    <w:rPr>
                      <w:rFonts w:ascii="仿宋_GB2312" w:hAnsi="仿宋_GB2312" w:cs="仿宋_GB2312" w:eastAsia="仿宋_GB2312"/>
                      <w:sz w:val="21"/>
                    </w:rPr>
                    <w:t>6）链路通道ES（误码秒数）≤6 个/2 小时，链路通道SES（严重误码秒数）≤6 个/2小时。</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专线不可用指标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不可用时间</w:t>
                  </w:r>
                  <w:r>
                    <w:rPr>
                      <w:rFonts w:ascii="仿宋_GB2312" w:hAnsi="仿宋_GB2312" w:cs="仿宋_GB2312" w:eastAsia="仿宋_GB2312"/>
                      <w:sz w:val="21"/>
                    </w:rPr>
                    <w:t>≤ 10小时/年。</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单条链路断网指标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单条链路断网次数</w:t>
                  </w:r>
                  <w:r>
                    <w:rPr>
                      <w:rFonts w:ascii="仿宋_GB2312" w:hAnsi="仿宋_GB2312" w:cs="仿宋_GB2312" w:eastAsia="仿宋_GB2312"/>
                      <w:sz w:val="21"/>
                    </w:rPr>
                    <w:t>≤ 5次/年。火灾、市政施工、洪水等不可控因素除外。</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专线业务恢复时限指标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业务恢复时限</w:t>
                  </w:r>
                  <w:r>
                    <w:rPr>
                      <w:rFonts w:ascii="仿宋_GB2312" w:hAnsi="仿宋_GB2312" w:cs="仿宋_GB2312" w:eastAsia="仿宋_GB2312"/>
                      <w:sz w:val="21"/>
                    </w:rPr>
                    <w:t>≤ 2小时。</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数字线路通信质量指标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满足</w:t>
                  </w:r>
                  <w:r>
                    <w:rPr>
                      <w:rFonts w:ascii="仿宋_GB2312" w:hAnsi="仿宋_GB2312" w:cs="仿宋_GB2312" w:eastAsia="仿宋_GB2312"/>
                      <w:sz w:val="19"/>
                    </w:rPr>
                    <w:t>《</w:t>
                  </w:r>
                  <w:r>
                    <w:rPr>
                      <w:rFonts w:ascii="仿宋_GB2312" w:hAnsi="仿宋_GB2312" w:cs="仿宋_GB2312" w:eastAsia="仿宋_GB2312"/>
                      <w:sz w:val="19"/>
                    </w:rPr>
                    <w:t>GB/T 45250-2025电信和互联网服务 标准化工作指南》</w:t>
                  </w:r>
                  <w:r>
                    <w:rPr>
                      <w:rFonts w:ascii="仿宋_GB2312" w:hAnsi="仿宋_GB2312" w:cs="仿宋_GB2312" w:eastAsia="仿宋_GB2312"/>
                      <w:sz w:val="21"/>
                    </w:rPr>
                    <w:t>中有关数字线路的通信质量指标的规定。</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供应商提供的网络必须具有很强的安全性，确保业务数据传输的安全，具有完善的安全保障措施，实现接入链路的端到端全程监控管理，充分保障用户电路的安全可靠性，及电路开通和调配的及时性和灵活性。</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可扩展能力指标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供应商提供的网络必须具备可扩展能力，能够适应招标人网络结构的变化，具有灵活的带宽伸缩能力，满足业务发展的需要。</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开通时间指标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完成全部开通时间</w:t>
                  </w:r>
                  <w:r>
                    <w:rPr>
                      <w:rFonts w:ascii="仿宋_GB2312" w:hAnsi="仿宋_GB2312" w:cs="仿宋_GB2312" w:eastAsia="仿宋_GB2312"/>
                      <w:sz w:val="21"/>
                    </w:rPr>
                    <w:t>≤ 15个工作日。</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1.供应商需提供西安市所需网络设备及管理权限：4台48口千兆业务接入交换机、4台出口路由器、2台下一代防火墙、2台VPN防火墙及相应机</w:t>
                  </w:r>
                  <w:r>
                    <w:rPr>
                      <w:rFonts w:ascii="仿宋_GB2312" w:hAnsi="仿宋_GB2312" w:cs="仿宋_GB2312" w:eastAsia="仿宋_GB2312"/>
                      <w:sz w:val="21"/>
                    </w:rPr>
                    <w:t>架及电源配套，技术参数详见附表地市网络设备技术要求；</w:t>
                  </w:r>
                  <w:r>
                    <w:rPr>
                      <w:rFonts w:ascii="仿宋_GB2312" w:hAnsi="仿宋_GB2312" w:cs="仿宋_GB2312" w:eastAsia="仿宋_GB2312"/>
                      <w:sz w:val="21"/>
                    </w:rPr>
                    <w:t>（提供</w:t>
                  </w:r>
                  <w:r>
                    <w:rPr>
                      <w:rFonts w:ascii="仿宋_GB2312" w:hAnsi="仿宋_GB2312" w:cs="仿宋_GB2312" w:eastAsia="仿宋_GB2312"/>
                      <w:sz w:val="21"/>
                    </w:rPr>
                    <w:t>证明材料或</w:t>
                  </w:r>
                  <w:r>
                    <w:rPr>
                      <w:rFonts w:ascii="仿宋_GB2312" w:hAnsi="仿宋_GB2312" w:cs="仿宋_GB2312" w:eastAsia="仿宋_GB2312"/>
                      <w:sz w:val="21"/>
                    </w:rPr>
                    <w:t>承诺书）</w:t>
                  </w:r>
                </w:p>
                <w:p>
                  <w:pPr>
                    <w:pStyle w:val="null3"/>
                  </w:pPr>
                  <w:r>
                    <w:rPr>
                      <w:rFonts w:ascii="仿宋_GB2312" w:hAnsi="仿宋_GB2312" w:cs="仿宋_GB2312" w:eastAsia="仿宋_GB2312"/>
                      <w:sz w:val="21"/>
                    </w:rPr>
                    <w:t>2.供应商需提供骨干网实时监控数据至招标人指定机房；</w:t>
                  </w:r>
                  <w:r>
                    <w:rPr>
                      <w:rFonts w:ascii="仿宋_GB2312" w:hAnsi="仿宋_GB2312" w:cs="仿宋_GB2312" w:eastAsia="仿宋_GB2312"/>
                      <w:sz w:val="21"/>
                    </w:rPr>
                    <w:t>（提供</w:t>
                  </w:r>
                  <w:r>
                    <w:rPr>
                      <w:rFonts w:ascii="仿宋_GB2312" w:hAnsi="仿宋_GB2312" w:cs="仿宋_GB2312" w:eastAsia="仿宋_GB2312"/>
                      <w:sz w:val="21"/>
                    </w:rPr>
                    <w:t>证明材料或</w:t>
                  </w:r>
                  <w:r>
                    <w:rPr>
                      <w:rFonts w:ascii="仿宋_GB2312" w:hAnsi="仿宋_GB2312" w:cs="仿宋_GB2312" w:eastAsia="仿宋_GB2312"/>
                      <w:sz w:val="21"/>
                    </w:rPr>
                    <w:t>承诺书）</w:t>
                  </w:r>
                </w:p>
                <w:p>
                  <w:pPr>
                    <w:pStyle w:val="null3"/>
                  </w:pPr>
                  <w:r>
                    <w:rPr>
                      <w:rFonts w:ascii="仿宋_GB2312" w:hAnsi="仿宋_GB2312" w:cs="仿宋_GB2312" w:eastAsia="仿宋_GB2312"/>
                      <w:sz w:val="21"/>
                    </w:rPr>
                    <w:t>3.各地市市上联路由间横联链路指的是与异供应商之间的互联，同时需提供备用链路。</w:t>
                  </w:r>
                  <w:r>
                    <w:rPr>
                      <w:rFonts w:ascii="仿宋_GB2312" w:hAnsi="仿宋_GB2312" w:cs="仿宋_GB2312" w:eastAsia="仿宋_GB2312"/>
                      <w:sz w:val="21"/>
                    </w:rPr>
                    <w:t>（提供</w:t>
                  </w:r>
                  <w:r>
                    <w:rPr>
                      <w:rFonts w:ascii="仿宋_GB2312" w:hAnsi="仿宋_GB2312" w:cs="仿宋_GB2312" w:eastAsia="仿宋_GB2312"/>
                      <w:sz w:val="21"/>
                    </w:rPr>
                    <w:t>证明材料或</w:t>
                  </w:r>
                  <w:r>
                    <w:rPr>
                      <w:rFonts w:ascii="仿宋_GB2312" w:hAnsi="仿宋_GB2312" w:cs="仿宋_GB2312" w:eastAsia="仿宋_GB2312"/>
                      <w:sz w:val="21"/>
                    </w:rPr>
                    <w:t>承诺书）</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4）互联网专线技术要求</w:t>
            </w:r>
          </w:p>
          <w:p>
            <w:pPr>
              <w:pStyle w:val="null3"/>
            </w:pPr>
            <w:r>
              <w:rPr>
                <w:rFonts w:ascii="仿宋_GB2312" w:hAnsi="仿宋_GB2312" w:cs="仿宋_GB2312" w:eastAsia="仿宋_GB2312"/>
                <w:sz w:val="21"/>
              </w:rPr>
              <w:t>供应商需提供数据中心</w:t>
            </w:r>
            <w:r>
              <w:rPr>
                <w:rFonts w:ascii="仿宋_GB2312" w:hAnsi="仿宋_GB2312" w:cs="仿宋_GB2312" w:eastAsia="仿宋_GB2312"/>
                <w:sz w:val="21"/>
              </w:rPr>
              <w:t>A、数据中心B至互联网2 条链路：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00"/>
              <w:gridCol w:w="300"/>
              <w:gridCol w:w="600"/>
              <w:gridCol w:w="479"/>
              <w:gridCol w:w="571"/>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公共服务区互联网出口</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0"/>
                  <w:vMerge/>
                  <w:tcBorders>
                    <w:top w:val="none" w:color="000000" w:sz="4"/>
                    <w:left w:val="none" w:color="000000" w:sz="4"/>
                    <w:bottom w:val="single" w:color="000000" w:sz="4"/>
                    <w:right w:val="single" w:color="000000" w:sz="4"/>
                  </w:tcBorders>
                </w:tcP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B</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公共服务区互联网出口</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561"/>
              <w:gridCol w:w="351"/>
              <w:gridCol w:w="1330"/>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线路类型</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互联网专线。</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专线速率指标</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互联网专线速率满足上表要求，上下行速率对等。</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接口类型</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用户指定。</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接入要求</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供应商负责自身网络至数据中心的互联网专线链路。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带宽要求</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供应商提供数据中心</w:t>
                  </w:r>
                  <w:r>
                    <w:rPr>
                      <w:rFonts w:ascii="仿宋_GB2312" w:hAnsi="仿宋_GB2312" w:cs="仿宋_GB2312" w:eastAsia="仿宋_GB2312"/>
                      <w:sz w:val="21"/>
                    </w:rPr>
                    <w:t>A、数据中心B各一条550M带宽专线网络服务。</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IP要求</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供应商需按招标人要求提供所需的固定</w:t>
                  </w:r>
                  <w:r>
                    <w:rPr>
                      <w:rFonts w:ascii="仿宋_GB2312" w:hAnsi="仿宋_GB2312" w:cs="仿宋_GB2312" w:eastAsia="仿宋_GB2312"/>
                      <w:sz w:val="21"/>
                    </w:rPr>
                    <w:t>IP。</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扩容要求</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须承诺在接到招标人通知后的</w:t>
                  </w:r>
                  <w:r>
                    <w:rPr>
                      <w:rFonts w:ascii="仿宋_GB2312" w:hAnsi="仿宋_GB2312" w:cs="仿宋_GB2312" w:eastAsia="仿宋_GB2312"/>
                      <w:sz w:val="21"/>
                    </w:rPr>
                    <w:t>2小时内（遇封网等原因除外）</w:t>
                  </w:r>
                  <w:r>
                    <w:rPr>
                      <w:rFonts w:ascii="仿宋_GB2312" w:hAnsi="仿宋_GB2312" w:cs="仿宋_GB2312" w:eastAsia="仿宋_GB2312"/>
                      <w:sz w:val="21"/>
                    </w:rPr>
                    <w:t>完成带宽的扩容的响应。</w:t>
                  </w:r>
                </w:p>
              </w:tc>
            </w:tr>
            <w:tr>
              <w:tc>
                <w:tcPr>
                  <w:tcW w:type="dxa" w:w="30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FF"/>
                      <w:u w:val="single"/>
                    </w:rPr>
                    <w:t>7</w:t>
                  </w:r>
                </w:p>
              </w:tc>
              <w:tc>
                <w:tcPr>
                  <w:tcW w:type="dxa" w:w="56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云抗</w:t>
                  </w:r>
                  <w:r>
                    <w:rPr>
                      <w:rFonts w:ascii="仿宋_GB2312" w:hAnsi="仿宋_GB2312" w:cs="仿宋_GB2312" w:eastAsia="仿宋_GB2312"/>
                      <w:sz w:val="19"/>
                    </w:rPr>
                    <w:t>DDoS</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防护性能：至少可以提供</w:t>
                  </w:r>
                  <w:r>
                    <w:rPr>
                      <w:rFonts w:ascii="仿宋_GB2312" w:hAnsi="仿宋_GB2312" w:cs="仿宋_GB2312" w:eastAsia="仿宋_GB2312"/>
                      <w:sz w:val="19"/>
                    </w:rPr>
                    <w:t>4GbpsDDoS防御能力，只考虑清洗峰值，总清洗流量值不做限制。</w:t>
                  </w:r>
                  <w:r>
                    <w:rPr>
                      <w:rFonts w:ascii="仿宋_GB2312" w:hAnsi="仿宋_GB2312" w:cs="仿宋_GB2312" w:eastAsia="仿宋_GB2312"/>
                      <w:sz w:val="21"/>
                    </w:rPr>
                    <w:t>供应商需</w:t>
                  </w:r>
                  <w:r>
                    <w:rPr>
                      <w:rFonts w:ascii="仿宋_GB2312" w:hAnsi="仿宋_GB2312" w:cs="仿宋_GB2312" w:eastAsia="仿宋_GB2312"/>
                      <w:sz w:val="21"/>
                    </w:rPr>
                    <w:t>向招标人提供系统的操作权限。</w:t>
                  </w:r>
                </w:p>
              </w:tc>
            </w:tr>
            <w:tr>
              <w:tc>
                <w:tcPr>
                  <w:tcW w:type="dxa" w:w="309"/>
                  <w:vMerge/>
                  <w:tcBorders>
                    <w:top w:val="none" w:color="000000" w:sz="4"/>
                    <w:left w:val="single" w:color="000000" w:sz="4"/>
                    <w:bottom w:val="none" w:color="000000" w:sz="4"/>
                    <w:right w:val="single" w:color="000000" w:sz="4"/>
                  </w:tcBorders>
                </w:tcPr>
                <w:p/>
              </w:tc>
              <w:tc>
                <w:tcPr>
                  <w:tcW w:type="dxa" w:w="561"/>
                  <w:vMerge/>
                  <w:tcBorders>
                    <w:top w:val="none" w:color="000000" w:sz="4"/>
                    <w:left w:val="non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DDoS防护：防护多种DDoS类型攻击,包括但不限于以下攻击类型: ICMP Flood、UDP Flood、TCP Flood、SYN Flood、ACK Flood、反射放大攻击、HTTP慢速攻击等。</w:t>
                  </w:r>
                </w:p>
              </w:tc>
            </w:tr>
            <w:tr>
              <w:tc>
                <w:tcPr>
                  <w:tcW w:type="dxa" w:w="309"/>
                  <w:vMerge/>
                  <w:tcBorders>
                    <w:top w:val="none" w:color="000000" w:sz="4"/>
                    <w:left w:val="single" w:color="000000" w:sz="4"/>
                    <w:bottom w:val="none" w:color="000000" w:sz="4"/>
                    <w:right w:val="single" w:color="000000" w:sz="4"/>
                  </w:tcBorders>
                </w:tcPr>
                <w:p/>
              </w:tc>
              <w:tc>
                <w:tcPr>
                  <w:tcW w:type="dxa" w:w="561"/>
                  <w:vMerge/>
                  <w:tcBorders>
                    <w:top w:val="none" w:color="000000" w:sz="4"/>
                    <w:left w:val="non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高级安全策略：支持协议禁用（</w:t>
                  </w:r>
                  <w:r>
                    <w:rPr>
                      <w:rFonts w:ascii="仿宋_GB2312" w:hAnsi="仿宋_GB2312" w:cs="仿宋_GB2312" w:eastAsia="仿宋_GB2312"/>
                      <w:sz w:val="19"/>
                    </w:rPr>
                    <w:t>TCP/UDP/ICMP/其他协议），支持异常连接防护功能。</w:t>
                  </w:r>
                </w:p>
              </w:tc>
            </w:tr>
            <w:tr>
              <w:tc>
                <w:tcPr>
                  <w:tcW w:type="dxa" w:w="309"/>
                  <w:vMerge/>
                  <w:tcBorders>
                    <w:top w:val="none" w:color="000000" w:sz="4"/>
                    <w:left w:val="single" w:color="000000" w:sz="4"/>
                    <w:bottom w:val="none" w:color="000000" w:sz="4"/>
                    <w:right w:val="single" w:color="000000" w:sz="4"/>
                  </w:tcBorders>
                </w:tcPr>
                <w:p/>
              </w:tc>
              <w:tc>
                <w:tcPr>
                  <w:tcW w:type="dxa" w:w="561"/>
                  <w:vMerge/>
                  <w:tcBorders>
                    <w:top w:val="none" w:color="000000" w:sz="4"/>
                    <w:left w:val="non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安全报表：支持提供实时精准的流量报表及攻击详情信息，至少包括：网络出入库流量趋势、攻击类型、攻击</w:t>
                  </w:r>
                  <w:r>
                    <w:rPr>
                      <w:rFonts w:ascii="仿宋_GB2312" w:hAnsi="仿宋_GB2312" w:cs="仿宋_GB2312" w:eastAsia="仿宋_GB2312"/>
                      <w:sz w:val="19"/>
                    </w:rPr>
                    <w:t>IP、攻击次数、攻击峰值等信息。</w:t>
                  </w:r>
                </w:p>
              </w:tc>
            </w:tr>
            <w:tr>
              <w:tc>
                <w:tcPr>
                  <w:tcW w:type="dxa" w:w="309"/>
                  <w:vMerge/>
                  <w:tcBorders>
                    <w:top w:val="none" w:color="000000" w:sz="4"/>
                    <w:left w:val="single" w:color="000000" w:sz="4"/>
                    <w:bottom w:val="none" w:color="000000" w:sz="4"/>
                    <w:right w:val="single" w:color="000000" w:sz="4"/>
                  </w:tcBorders>
                </w:tcPr>
                <w:p/>
              </w:tc>
              <w:tc>
                <w:tcPr>
                  <w:tcW w:type="dxa" w:w="561"/>
                  <w:vMerge/>
                  <w:tcBorders>
                    <w:top w:val="none" w:color="000000" w:sz="4"/>
                    <w:left w:val="none" w:color="000000" w:sz="4"/>
                    <w:bottom w:val="none" w:color="000000" w:sz="4"/>
                    <w:right w:val="single" w:color="000000" w:sz="4"/>
                  </w:tcBorders>
                </w:tc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应急响应：提供</w:t>
                  </w:r>
                  <w:r>
                    <w:rPr>
                      <w:rFonts w:ascii="仿宋_GB2312" w:hAnsi="仿宋_GB2312" w:cs="仿宋_GB2312" w:eastAsia="仿宋_GB2312"/>
                      <w:sz w:val="19"/>
                    </w:rPr>
                    <w:t>7*24小时应急响应，处理应急事件，包括为客户调整网络配置、调优防护策略、调整黑白名单等服务。</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供应商需提供网络实时监控数据至招标人指定机房。</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5）VPN 技术要求</w:t>
            </w:r>
          </w:p>
          <w:p>
            <w:pPr>
              <w:pStyle w:val="null3"/>
            </w:pPr>
            <w:r>
              <w:rPr>
                <w:rFonts w:ascii="仿宋_GB2312" w:hAnsi="仿宋_GB2312" w:cs="仿宋_GB2312" w:eastAsia="仿宋_GB2312"/>
                <w:sz w:val="21"/>
              </w:rPr>
              <w:t>供应商需提供自身网络至数据中心</w:t>
            </w:r>
            <w:r>
              <w:rPr>
                <w:rFonts w:ascii="仿宋_GB2312" w:hAnsi="仿宋_GB2312" w:cs="仿宋_GB2312" w:eastAsia="仿宋_GB2312"/>
                <w:sz w:val="21"/>
              </w:rPr>
              <w:t>A的 1 条VPN链路：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375"/>
              <w:gridCol w:w="300"/>
              <w:gridCol w:w="600"/>
              <w:gridCol w:w="600"/>
              <w:gridCol w:w="375"/>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SSL设备专线</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407"/>
              <w:gridCol w:w="491"/>
              <w:gridCol w:w="424"/>
              <w:gridCol w:w="1230"/>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线路类型</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VPN专线。</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接口类型</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用户指定。</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接入要求</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供应商负责自身网络至数据中心的</w:t>
                  </w:r>
                  <w:r>
                    <w:rPr>
                      <w:rFonts w:ascii="仿宋_GB2312" w:hAnsi="仿宋_GB2312" w:cs="仿宋_GB2312" w:eastAsia="仿宋_GB2312"/>
                      <w:sz w:val="21"/>
                    </w:rPr>
                    <w:t>VPN 专线链路，并搭建 VPN 接入环境。</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带宽要求</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w:t>
                  </w:r>
                  <w:r>
                    <w:rPr>
                      <w:rFonts w:ascii="仿宋_GB2312" w:hAnsi="仿宋_GB2312" w:cs="仿宋_GB2312" w:eastAsia="仿宋_GB2312"/>
                      <w:sz w:val="21"/>
                    </w:rPr>
                    <w:t>50MB 带宽专线网络服务。</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扩容要求</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须承诺在接到招标人通知后的</w:t>
                  </w:r>
                  <w:r>
                    <w:rPr>
                      <w:rFonts w:ascii="仿宋_GB2312" w:hAnsi="仿宋_GB2312" w:cs="仿宋_GB2312" w:eastAsia="仿宋_GB2312"/>
                      <w:sz w:val="21"/>
                    </w:rPr>
                    <w:t>10 个工作日内完成带宽的扩容的响应。</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6）4G VPDN 技术要求</w:t>
            </w:r>
          </w:p>
          <w:p>
            <w:pPr>
              <w:pStyle w:val="null3"/>
            </w:pPr>
            <w:r>
              <w:rPr>
                <w:rFonts w:ascii="仿宋_GB2312" w:hAnsi="仿宋_GB2312" w:cs="仿宋_GB2312" w:eastAsia="仿宋_GB2312"/>
                <w:sz w:val="21"/>
              </w:rPr>
              <w:t>供应商需提供自身网络至数据中心</w:t>
            </w:r>
            <w:r>
              <w:rPr>
                <w:rFonts w:ascii="仿宋_GB2312" w:hAnsi="仿宋_GB2312" w:cs="仿宋_GB2312" w:eastAsia="仿宋_GB2312"/>
                <w:sz w:val="21"/>
              </w:rPr>
              <w:t>A的 1 条4G VPDN链路：</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450"/>
              <w:gridCol w:w="300"/>
              <w:gridCol w:w="600"/>
              <w:gridCol w:w="406"/>
              <w:gridCol w:w="494"/>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Z端接入点</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A端接入点</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w:t>
                  </w:r>
                  <w:r>
                    <w:rPr>
                      <w:rFonts w:ascii="仿宋_GB2312" w:hAnsi="仿宋_GB2312" w:cs="仿宋_GB2312" w:eastAsia="仿宋_GB2312"/>
                      <w:sz w:val="21"/>
                    </w:rPr>
                    <w:t>MB）</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数量（条）</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VPDN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r>
                    <w:rPr>
                      <w:rFonts w:ascii="仿宋_GB2312" w:hAnsi="仿宋_GB2312" w:cs="仿宋_GB2312" w:eastAsia="仿宋_GB2312"/>
                      <w:sz w:val="21"/>
                    </w:rPr>
                    <w:t>A</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刷脸支付等终端使用</w:t>
                  </w:r>
                </w:p>
              </w:tc>
            </w:tr>
          </w:tbl>
          <w:p>
            <w:pPr>
              <w:pStyle w:val="null3"/>
            </w:pPr>
            <w:r>
              <w:rPr>
                <w:rFonts w:ascii="仿宋_GB2312" w:hAnsi="仿宋_GB2312" w:cs="仿宋_GB2312" w:eastAsia="仿宋_GB2312"/>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374"/>
              <w:gridCol w:w="374"/>
              <w:gridCol w:w="1430"/>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线路类型</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基于</w:t>
                  </w:r>
                  <w:r>
                    <w:rPr>
                      <w:rFonts w:ascii="仿宋_GB2312" w:hAnsi="仿宋_GB2312" w:cs="仿宋_GB2312" w:eastAsia="仿宋_GB2312"/>
                      <w:sz w:val="21"/>
                    </w:rPr>
                    <w:t>L2TP 等技术，提供账号、密码、IMSI、IP 地址等多种组合的安全认证方式，且支持基于数字证书的二次认证方式。</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接口类型</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用户指定。</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接入要求</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供应商负责自身网络至数据中心的</w:t>
                  </w:r>
                  <w:r>
                    <w:rPr>
                      <w:rFonts w:ascii="仿宋_GB2312" w:hAnsi="仿宋_GB2312" w:cs="仿宋_GB2312" w:eastAsia="仿宋_GB2312"/>
                      <w:sz w:val="21"/>
                    </w:rPr>
                    <w:t>VPDN 专线链路，并搭建 VPDN 接入环境。</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带宽要求</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供应商提供</w:t>
                  </w:r>
                  <w:r>
                    <w:rPr>
                      <w:rFonts w:ascii="仿宋_GB2312" w:hAnsi="仿宋_GB2312" w:cs="仿宋_GB2312" w:eastAsia="仿宋_GB2312"/>
                      <w:sz w:val="21"/>
                    </w:rPr>
                    <w:t>≥10MB 带宽专线网络服务。</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扩容要求</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须承诺在接到招标人通知后的</w:t>
                  </w:r>
                  <w:r>
                    <w:rPr>
                      <w:rFonts w:ascii="仿宋_GB2312" w:hAnsi="仿宋_GB2312" w:cs="仿宋_GB2312" w:eastAsia="仿宋_GB2312"/>
                      <w:sz w:val="21"/>
                    </w:rPr>
                    <w:t>10 个工作日内完成带宽的扩容的响应。</w:t>
                  </w:r>
                </w:p>
              </w:tc>
            </w:tr>
          </w:tbl>
          <w:p>
            <w:pPr>
              <w:pStyle w:val="null3"/>
            </w:pPr>
            <w:r>
              <w:rPr>
                <w:rFonts w:ascii="仿宋_GB2312" w:hAnsi="仿宋_GB2312" w:cs="仿宋_GB2312" w:eastAsia="仿宋_GB2312"/>
                <w:sz w:val="21"/>
              </w:rPr>
              <w:t>附表：地市网络设备技术要求</w:t>
            </w:r>
          </w:p>
          <w:p>
            <w:pPr>
              <w:pStyle w:val="null3"/>
            </w:pPr>
            <w:r>
              <w:rPr>
                <w:rFonts w:ascii="仿宋_GB2312" w:hAnsi="仿宋_GB2312" w:cs="仿宋_GB2312" w:eastAsia="仿宋_GB2312"/>
                <w:sz w:val="21"/>
              </w:rPr>
              <w:t>表</w:t>
            </w:r>
            <w:r>
              <w:rPr>
                <w:rFonts w:ascii="仿宋_GB2312" w:hAnsi="仿宋_GB2312" w:cs="仿宋_GB2312" w:eastAsia="仿宋_GB2312"/>
                <w:sz w:val="21"/>
              </w:rPr>
              <w:t>1市上联路由器技术要求</w:t>
            </w:r>
          </w:p>
          <w:tbl>
            <w:tblPr>
              <w:tblInd w:type="dxa" w:w="120"/>
              <w:tblBorders>
                <w:top w:val="none" w:color="000000" w:sz="4"/>
                <w:left w:val="none" w:color="000000" w:sz="4"/>
                <w:bottom w:val="none" w:color="000000" w:sz="4"/>
                <w:right w:val="none" w:color="000000" w:sz="4"/>
                <w:insideH w:val="none"/>
                <w:insideV w:val="none"/>
              </w:tblBorders>
            </w:tblPr>
            <w:tblGrid>
              <w:gridCol w:w="373"/>
              <w:gridCol w:w="373"/>
              <w:gridCol w:w="373"/>
              <w:gridCol w:w="1434"/>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w:t>
                  </w:r>
                </w:p>
                <w:p>
                  <w:pPr>
                    <w:pStyle w:val="null3"/>
                    <w:jc w:val="center"/>
                  </w:pPr>
                  <w:r>
                    <w:rPr>
                      <w:rFonts w:ascii="仿宋_GB2312" w:hAnsi="仿宋_GB2312" w:cs="仿宋_GB2312" w:eastAsia="仿宋_GB2312"/>
                      <w:sz w:val="21"/>
                    </w:rPr>
                    <w:t>形态</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国产品牌路由器，整机业务板槽位数</w:t>
                  </w:r>
                  <w:r>
                    <w:rPr>
                      <w:rFonts w:ascii="仿宋_GB2312" w:hAnsi="仿宋_GB2312" w:cs="仿宋_GB2312" w:eastAsia="仿宋_GB2312"/>
                      <w:sz w:val="21"/>
                    </w:rPr>
                    <w:t>≥6个；</w:t>
                  </w:r>
                  <w:r>
                    <w:br/>
                  </w:r>
                  <w:r>
                    <w:rPr>
                      <w:rFonts w:ascii="仿宋_GB2312" w:hAnsi="仿宋_GB2312" w:cs="仿宋_GB2312" w:eastAsia="仿宋_GB2312"/>
                      <w:sz w:val="21"/>
                    </w:rPr>
                    <w:t>配置冗余主控板，冗余交换网板，配置千兆光口</w:t>
                  </w:r>
                  <w:r>
                    <w:rPr>
                      <w:rFonts w:ascii="仿宋_GB2312" w:hAnsi="仿宋_GB2312" w:cs="仿宋_GB2312" w:eastAsia="仿宋_GB2312"/>
                      <w:sz w:val="21"/>
                    </w:rPr>
                    <w:t>≥8个（含单模光模块），万兆光口≥4个（含单模光模块）；</w:t>
                  </w:r>
                  <w:r>
                    <w:br/>
                  </w:r>
                  <w:r>
                    <w:rPr>
                      <w:rFonts w:ascii="仿宋_GB2312" w:hAnsi="仿宋_GB2312" w:cs="仿宋_GB2312" w:eastAsia="仿宋_GB2312"/>
                      <w:sz w:val="21"/>
                    </w:rPr>
                    <w:t>配置热插拔冗余电源模块</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w:t>
                  </w:r>
                </w:p>
                <w:p>
                  <w:pPr>
                    <w:pStyle w:val="null3"/>
                    <w:jc w:val="center"/>
                  </w:pPr>
                  <w:r>
                    <w:rPr>
                      <w:rFonts w:ascii="仿宋_GB2312" w:hAnsi="仿宋_GB2312" w:cs="仿宋_GB2312" w:eastAsia="仿宋_GB2312"/>
                      <w:sz w:val="21"/>
                    </w:rPr>
                    <w:t>要求</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整机吞吐量</w:t>
                  </w:r>
                  <w:r>
                    <w:rPr>
                      <w:rFonts w:ascii="仿宋_GB2312" w:hAnsi="仿宋_GB2312" w:cs="仿宋_GB2312" w:eastAsia="仿宋_GB2312"/>
                      <w:sz w:val="21"/>
                    </w:rPr>
                    <w:t>≥20Gbps</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w:t>
                  </w:r>
                </w:p>
                <w:p>
                  <w:pPr>
                    <w:pStyle w:val="null3"/>
                    <w:jc w:val="center"/>
                  </w:pPr>
                  <w:r>
                    <w:rPr>
                      <w:rFonts w:ascii="仿宋_GB2312" w:hAnsi="仿宋_GB2312" w:cs="仿宋_GB2312" w:eastAsia="仿宋_GB2312"/>
                      <w:sz w:val="21"/>
                    </w:rPr>
                    <w:t>要求</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PPP、MP、ETHERNET等链路层协议；</w:t>
                  </w:r>
                  <w:r>
                    <w:br/>
                  </w:r>
                  <w:r>
                    <w:rPr>
                      <w:rFonts w:ascii="仿宋_GB2312" w:hAnsi="仿宋_GB2312" w:cs="仿宋_GB2312" w:eastAsia="仿宋_GB2312"/>
                      <w:sz w:val="21"/>
                    </w:rPr>
                    <w:t>支持</w:t>
                  </w:r>
                  <w:r>
                    <w:rPr>
                      <w:rFonts w:ascii="仿宋_GB2312" w:hAnsi="仿宋_GB2312" w:cs="仿宋_GB2312" w:eastAsia="仿宋_GB2312"/>
                      <w:sz w:val="21"/>
                    </w:rPr>
                    <w:t>IPV4静态路由、RIPv1/v2、OSPFv2、BGP、IS-IS、路由策略；</w:t>
                  </w:r>
                  <w:r>
                    <w:br/>
                  </w:r>
                  <w:r>
                    <w:rPr>
                      <w:rFonts w:ascii="仿宋_GB2312" w:hAnsi="仿宋_GB2312" w:cs="仿宋_GB2312" w:eastAsia="仿宋_GB2312"/>
                      <w:sz w:val="21"/>
                    </w:rPr>
                    <w:t>支持</w:t>
                  </w:r>
                  <w:r>
                    <w:rPr>
                      <w:rFonts w:ascii="仿宋_GB2312" w:hAnsi="仿宋_GB2312" w:cs="仿宋_GB2312" w:eastAsia="仿宋_GB2312"/>
                      <w:sz w:val="21"/>
                    </w:rPr>
                    <w:t>IPv6静态路由、RIPng、OSPFv3、IS-ISv6、BGP4+；</w:t>
                  </w:r>
                  <w:r>
                    <w:br/>
                  </w:r>
                  <w:r>
                    <w:rPr>
                      <w:rFonts w:ascii="仿宋_GB2312" w:hAnsi="仿宋_GB2312" w:cs="仿宋_GB2312" w:eastAsia="仿宋_GB2312"/>
                      <w:sz w:val="21"/>
                    </w:rPr>
                    <w:t>支持</w:t>
                  </w:r>
                  <w:r>
                    <w:rPr>
                      <w:rFonts w:ascii="仿宋_GB2312" w:hAnsi="仿宋_GB2312" w:cs="仿宋_GB2312" w:eastAsia="仿宋_GB2312"/>
                      <w:sz w:val="21"/>
                    </w:rPr>
                    <w:t>GRE功能；</w:t>
                  </w:r>
                  <w:r>
                    <w:br/>
                  </w:r>
                  <w:r>
                    <w:rPr>
                      <w:rFonts w:ascii="仿宋_GB2312" w:hAnsi="仿宋_GB2312" w:cs="仿宋_GB2312" w:eastAsia="仿宋_GB2312"/>
                      <w:sz w:val="21"/>
                    </w:rPr>
                    <w:t>支持</w:t>
                  </w:r>
                  <w:r>
                    <w:rPr>
                      <w:rFonts w:ascii="仿宋_GB2312" w:hAnsi="仿宋_GB2312" w:cs="仿宋_GB2312" w:eastAsia="仿宋_GB2312"/>
                      <w:sz w:val="21"/>
                    </w:rPr>
                    <w:t>MPLS VPN功能；</w:t>
                  </w:r>
                  <w:r>
                    <w:br/>
                  </w:r>
                  <w:r>
                    <w:rPr>
                      <w:rFonts w:ascii="仿宋_GB2312" w:hAnsi="仿宋_GB2312" w:cs="仿宋_GB2312" w:eastAsia="仿宋_GB2312"/>
                      <w:sz w:val="21"/>
                    </w:rPr>
                    <w:t>支持</w:t>
                  </w:r>
                  <w:r>
                    <w:rPr>
                      <w:rFonts w:ascii="仿宋_GB2312" w:hAnsi="仿宋_GB2312" w:cs="仿宋_GB2312" w:eastAsia="仿宋_GB2312"/>
                      <w:sz w:val="21"/>
                    </w:rPr>
                    <w:t>SDN、VxLAN、SRv6</w:t>
                  </w:r>
                  <w:r>
                    <w:br/>
                  </w:r>
                  <w:r>
                    <w:rPr>
                      <w:rFonts w:ascii="仿宋_GB2312" w:hAnsi="仿宋_GB2312" w:cs="仿宋_GB2312" w:eastAsia="仿宋_GB2312"/>
                      <w:sz w:val="21"/>
                    </w:rPr>
                    <w:t>支持</w:t>
                  </w:r>
                  <w:r>
                    <w:rPr>
                      <w:rFonts w:ascii="仿宋_GB2312" w:hAnsi="仿宋_GB2312" w:cs="仿宋_GB2312" w:eastAsia="仿宋_GB2312"/>
                      <w:sz w:val="21"/>
                    </w:rPr>
                    <w:t>NSR功能，主备倒换时业务不中断；</w:t>
                  </w:r>
                  <w:r>
                    <w:br/>
                  </w:r>
                  <w:r>
                    <w:rPr>
                      <w:rFonts w:ascii="仿宋_GB2312" w:hAnsi="仿宋_GB2312" w:cs="仿宋_GB2312" w:eastAsia="仿宋_GB2312"/>
                      <w:sz w:val="21"/>
                    </w:rPr>
                    <w:t>交换网板、板卡、子卡支持热插拔功能；</w:t>
                  </w:r>
                </w:p>
              </w:tc>
            </w:tr>
          </w:tbl>
          <w:p>
            <w:pPr>
              <w:pStyle w:val="null3"/>
            </w:pPr>
            <w:r>
              <w:rPr>
                <w:rFonts w:ascii="仿宋_GB2312" w:hAnsi="仿宋_GB2312" w:cs="仿宋_GB2312" w:eastAsia="仿宋_GB2312"/>
                <w:sz w:val="21"/>
              </w:rPr>
              <w:t>表</w:t>
            </w:r>
            <w:r>
              <w:rPr>
                <w:rFonts w:ascii="仿宋_GB2312" w:hAnsi="仿宋_GB2312" w:cs="仿宋_GB2312" w:eastAsia="仿宋_GB2312"/>
                <w:sz w:val="21"/>
              </w:rPr>
              <w:t>2业务接入交换机技术要求</w:t>
            </w:r>
          </w:p>
          <w:tbl>
            <w:tblPr>
              <w:tblInd w:type="dxa" w:w="120"/>
              <w:tblBorders>
                <w:top w:val="none" w:color="000000" w:sz="4"/>
                <w:left w:val="none" w:color="000000" w:sz="4"/>
                <w:bottom w:val="none" w:color="000000" w:sz="4"/>
                <w:right w:val="none" w:color="000000" w:sz="4"/>
                <w:insideH w:val="none"/>
                <w:insideV w:val="none"/>
              </w:tblBorders>
            </w:tblPr>
            <w:tblGrid>
              <w:gridCol w:w="340"/>
              <w:gridCol w:w="340"/>
              <w:gridCol w:w="340"/>
              <w:gridCol w:w="1532"/>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w:t>
                  </w:r>
                </w:p>
                <w:p>
                  <w:pPr>
                    <w:pStyle w:val="null3"/>
                    <w:jc w:val="center"/>
                  </w:pPr>
                  <w:r>
                    <w:rPr>
                      <w:rFonts w:ascii="仿宋_GB2312" w:hAnsi="仿宋_GB2312" w:cs="仿宋_GB2312" w:eastAsia="仿宋_GB2312"/>
                      <w:sz w:val="21"/>
                    </w:rPr>
                    <w:t>形态</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国产品牌交换机，提供</w:t>
                  </w:r>
                  <w:r>
                    <w:rPr>
                      <w:rFonts w:ascii="仿宋_GB2312" w:hAnsi="仿宋_GB2312" w:cs="仿宋_GB2312" w:eastAsia="仿宋_GB2312"/>
                      <w:sz w:val="21"/>
                    </w:rPr>
                    <w:t>≥48个GE电接口+4个10GE光接口（含2个10GE多模光模块）端口均可自适应10M/100M/1000M，支持光转电模块。</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w:t>
                  </w:r>
                </w:p>
                <w:p>
                  <w:pPr>
                    <w:pStyle w:val="null3"/>
                    <w:jc w:val="center"/>
                  </w:pPr>
                  <w:r>
                    <w:rPr>
                      <w:rFonts w:ascii="仿宋_GB2312" w:hAnsi="仿宋_GB2312" w:cs="仿宋_GB2312" w:eastAsia="仿宋_GB2312"/>
                      <w:sz w:val="21"/>
                    </w:rPr>
                    <w:t>容量</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≥430Gbps</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包转</w:t>
                  </w:r>
                </w:p>
                <w:p>
                  <w:pPr>
                    <w:pStyle w:val="null3"/>
                    <w:jc w:val="center"/>
                  </w:pPr>
                  <w:r>
                    <w:rPr>
                      <w:rFonts w:ascii="仿宋_GB2312" w:hAnsi="仿宋_GB2312" w:cs="仿宋_GB2312" w:eastAsia="仿宋_GB2312"/>
                      <w:sz w:val="21"/>
                    </w:rPr>
                    <w:t>发率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≥250Mpps</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w:t>
                  </w:r>
                </w:p>
                <w:p>
                  <w:pPr>
                    <w:pStyle w:val="null3"/>
                    <w:jc w:val="center"/>
                  </w:pPr>
                  <w:r>
                    <w:rPr>
                      <w:rFonts w:ascii="仿宋_GB2312" w:hAnsi="仿宋_GB2312" w:cs="仿宋_GB2312" w:eastAsia="仿宋_GB2312"/>
                      <w:sz w:val="21"/>
                    </w:rPr>
                    <w:t>要求</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w:t>
                  </w:r>
                  <w:r>
                    <w:rPr>
                      <w:rFonts w:ascii="仿宋_GB2312" w:hAnsi="仿宋_GB2312" w:cs="仿宋_GB2312" w:eastAsia="仿宋_GB2312"/>
                      <w:sz w:val="21"/>
                    </w:rPr>
                    <w:t>Vxlan，且支持BGP EVPN特性，支持QinQ Access VXLAN。</w:t>
                  </w:r>
                </w:p>
              </w:tc>
            </w:tr>
          </w:tbl>
          <w:p>
            <w:pPr>
              <w:pStyle w:val="null3"/>
            </w:pPr>
            <w:r>
              <w:rPr>
                <w:rFonts w:ascii="仿宋_GB2312" w:hAnsi="仿宋_GB2312" w:cs="仿宋_GB2312" w:eastAsia="仿宋_GB2312"/>
                <w:sz w:val="21"/>
              </w:rPr>
              <w:t>表</w:t>
            </w:r>
            <w:r>
              <w:rPr>
                <w:rFonts w:ascii="仿宋_GB2312" w:hAnsi="仿宋_GB2312" w:cs="仿宋_GB2312" w:eastAsia="仿宋_GB2312"/>
                <w:sz w:val="21"/>
              </w:rPr>
              <w:t>3下一代防火墙技术要求</w:t>
            </w:r>
          </w:p>
          <w:tbl>
            <w:tblPr>
              <w:tblInd w:type="dxa" w:w="120"/>
              <w:tblBorders>
                <w:top w:val="none" w:color="000000" w:sz="4"/>
                <w:left w:val="none" w:color="000000" w:sz="4"/>
                <w:bottom w:val="none" w:color="000000" w:sz="4"/>
                <w:right w:val="none" w:color="000000" w:sz="4"/>
                <w:insideH w:val="none"/>
                <w:insideV w:val="none"/>
              </w:tblBorders>
            </w:tblPr>
            <w:tblGrid>
              <w:gridCol w:w="378"/>
              <w:gridCol w:w="378"/>
              <w:gridCol w:w="378"/>
              <w:gridCol w:w="1418"/>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硬件形态</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国产品牌防火墙，接口不少于</w:t>
                  </w:r>
                  <w:r>
                    <w:rPr>
                      <w:rFonts w:ascii="仿宋_GB2312" w:hAnsi="仿宋_GB2312" w:cs="仿宋_GB2312" w:eastAsia="仿宋_GB2312"/>
                      <w:sz w:val="21"/>
                    </w:rPr>
                    <w:t>6个千兆电口+4个千兆光口，满配单模光模块，冗余电源模块。</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性能要求</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网络层吞吐量</w:t>
                  </w:r>
                  <w:r>
                    <w:rPr>
                      <w:rFonts w:ascii="仿宋_GB2312" w:hAnsi="仿宋_GB2312" w:cs="仿宋_GB2312" w:eastAsia="仿宋_GB2312"/>
                      <w:sz w:val="21"/>
                    </w:rPr>
                    <w:t>≥20Gbps；并发连接数≥300万，每秒新建连接数≥10万；</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包转发率</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≥250Mpps</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功能要求</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包含访问控制、入侵防护、恶意代码清除、应用控制、</w:t>
                  </w:r>
                  <w:r>
                    <w:rPr>
                      <w:rFonts w:ascii="仿宋_GB2312" w:hAnsi="仿宋_GB2312" w:cs="仿宋_GB2312" w:eastAsia="仿宋_GB2312"/>
                      <w:sz w:val="21"/>
                    </w:rPr>
                    <w:t>WEB应用防护等功能,配置三年入侵特征库、应用识别、URL过滤和病毒库升级服务，病毒库每日更新。</w:t>
                  </w:r>
                </w:p>
              </w:tc>
            </w:tr>
          </w:tbl>
          <w:p>
            <w:pPr>
              <w:pStyle w:val="null3"/>
            </w:pPr>
            <w:r>
              <w:rPr>
                <w:rFonts w:ascii="仿宋_GB2312" w:hAnsi="仿宋_GB2312" w:cs="仿宋_GB2312" w:eastAsia="仿宋_GB2312"/>
                <w:sz w:val="21"/>
              </w:rPr>
              <w:t>表</w:t>
            </w:r>
            <w:r>
              <w:rPr>
                <w:rFonts w:ascii="仿宋_GB2312" w:hAnsi="仿宋_GB2312" w:cs="仿宋_GB2312" w:eastAsia="仿宋_GB2312"/>
                <w:sz w:val="21"/>
              </w:rPr>
              <w:t>4VPN防火墙技术要求</w:t>
            </w:r>
          </w:p>
          <w:tbl>
            <w:tblPr>
              <w:tblInd w:type="dxa" w:w="120"/>
              <w:tblBorders>
                <w:top w:val="none" w:color="000000" w:sz="4"/>
                <w:left w:val="none" w:color="000000" w:sz="4"/>
                <w:bottom w:val="none" w:color="000000" w:sz="4"/>
                <w:right w:val="none" w:color="000000" w:sz="4"/>
                <w:insideH w:val="none"/>
                <w:insideV w:val="none"/>
              </w:tblBorders>
            </w:tblPr>
            <w:tblGrid>
              <w:gridCol w:w="377"/>
              <w:gridCol w:w="377"/>
              <w:gridCol w:w="377"/>
              <w:gridCol w:w="1421"/>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指标项</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重要性</w:t>
                  </w:r>
                </w:p>
              </w:tc>
              <w:tc>
                <w:tcPr>
                  <w:tcW w:type="dxa" w:w="1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指标要求</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w:t>
                  </w:r>
                </w:p>
                <w:p>
                  <w:pPr>
                    <w:pStyle w:val="null3"/>
                    <w:jc w:val="center"/>
                  </w:pPr>
                  <w:r>
                    <w:rPr>
                      <w:rFonts w:ascii="仿宋_GB2312" w:hAnsi="仿宋_GB2312" w:cs="仿宋_GB2312" w:eastAsia="仿宋_GB2312"/>
                      <w:sz w:val="21"/>
                    </w:rPr>
                    <w:t>形态</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国产品牌</w:t>
                  </w:r>
                  <w:r>
                    <w:rPr>
                      <w:rFonts w:ascii="仿宋_GB2312" w:hAnsi="仿宋_GB2312" w:cs="仿宋_GB2312" w:eastAsia="仿宋_GB2312"/>
                      <w:sz w:val="21"/>
                    </w:rPr>
                    <w:t>VPN防火墙，配置千兆电口≥4个，千兆光口≥4（含单模光模块）个。</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w:t>
                  </w:r>
                </w:p>
                <w:p>
                  <w:pPr>
                    <w:pStyle w:val="null3"/>
                    <w:jc w:val="center"/>
                  </w:pPr>
                  <w:r>
                    <w:rPr>
                      <w:rFonts w:ascii="仿宋_GB2312" w:hAnsi="仿宋_GB2312" w:cs="仿宋_GB2312" w:eastAsia="仿宋_GB2312"/>
                      <w:sz w:val="21"/>
                    </w:rPr>
                    <w:t>要求</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吞吐量</w:t>
                  </w:r>
                  <w:r>
                    <w:rPr>
                      <w:rFonts w:ascii="仿宋_GB2312" w:hAnsi="仿宋_GB2312" w:cs="仿宋_GB2312" w:eastAsia="仿宋_GB2312"/>
                      <w:sz w:val="21"/>
                    </w:rPr>
                    <w:t>≥4Gbps，最大并发连接数≥250万，每秒新建连接数≥4万；SSL VPN并发用户≥4000；IPSec VPN隧道数≥2000；</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包转</w:t>
                  </w:r>
                </w:p>
                <w:p>
                  <w:pPr>
                    <w:pStyle w:val="null3"/>
                    <w:jc w:val="center"/>
                  </w:pPr>
                  <w:r>
                    <w:rPr>
                      <w:rFonts w:ascii="仿宋_GB2312" w:hAnsi="仿宋_GB2312" w:cs="仿宋_GB2312" w:eastAsia="仿宋_GB2312"/>
                      <w:sz w:val="21"/>
                    </w:rPr>
                    <w:t>发率</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≥250Mpps</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w:t>
                  </w:r>
                </w:p>
                <w:p>
                  <w:pPr>
                    <w:pStyle w:val="null3"/>
                    <w:jc w:val="center"/>
                  </w:pPr>
                  <w:r>
                    <w:rPr>
                      <w:rFonts w:ascii="仿宋_GB2312" w:hAnsi="仿宋_GB2312" w:cs="仿宋_GB2312" w:eastAsia="仿宋_GB2312"/>
                      <w:sz w:val="21"/>
                    </w:rPr>
                    <w:t>要求</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支持路由模式、透明（网桥）模式、混合模式；</w:t>
                  </w:r>
                  <w:r>
                    <w:br/>
                  </w:r>
                  <w:r>
                    <w:rPr>
                      <w:rFonts w:ascii="仿宋_GB2312" w:hAnsi="仿宋_GB2312" w:cs="仿宋_GB2312" w:eastAsia="仿宋_GB2312"/>
                      <w:sz w:val="21"/>
                    </w:rPr>
                    <w:t>支持静态路由、策略路由、</w:t>
                  </w:r>
                  <w:r>
                    <w:rPr>
                      <w:rFonts w:ascii="仿宋_GB2312" w:hAnsi="仿宋_GB2312" w:cs="仿宋_GB2312" w:eastAsia="仿宋_GB2312"/>
                      <w:sz w:val="21"/>
                    </w:rPr>
                    <w:t>RIP、OSPF、BGP等路由协议；</w:t>
                  </w:r>
                  <w:r>
                    <w:br/>
                  </w:r>
                  <w:r>
                    <w:rPr>
                      <w:rFonts w:ascii="仿宋_GB2312" w:hAnsi="仿宋_GB2312" w:cs="仿宋_GB2312" w:eastAsia="仿宋_GB2312"/>
                      <w:sz w:val="21"/>
                    </w:rPr>
                    <w:t>支持</w:t>
                  </w:r>
                  <w:r>
                    <w:rPr>
                      <w:rFonts w:ascii="仿宋_GB2312" w:hAnsi="仿宋_GB2312" w:cs="仿宋_GB2312" w:eastAsia="仿宋_GB2312"/>
                      <w:sz w:val="21"/>
                    </w:rPr>
                    <w:t>IPSec、L2TP、GRE VPN、SSL VPN等功能。</w:t>
                  </w:r>
                  <w:r>
                    <w:br/>
                  </w:r>
                  <w:r>
                    <w:rPr>
                      <w:rFonts w:ascii="仿宋_GB2312" w:hAnsi="仿宋_GB2312" w:cs="仿宋_GB2312" w:eastAsia="仿宋_GB2312"/>
                      <w:sz w:val="21"/>
                    </w:rPr>
                    <w:t>支持国密</w:t>
                  </w:r>
                  <w:r>
                    <w:rPr>
                      <w:rFonts w:ascii="仿宋_GB2312" w:hAnsi="仿宋_GB2312" w:cs="仿宋_GB2312" w:eastAsia="仿宋_GB2312"/>
                      <w:sz w:val="21"/>
                    </w:rPr>
                    <w:t>SM2/3/4算法；</w:t>
                  </w:r>
                  <w:r>
                    <w:br/>
                  </w:r>
                  <w:r>
                    <w:rPr>
                      <w:rFonts w:ascii="仿宋_GB2312" w:hAnsi="仿宋_GB2312" w:cs="仿宋_GB2312" w:eastAsia="仿宋_GB2312"/>
                      <w:sz w:val="21"/>
                    </w:rPr>
                    <w:t>支持</w:t>
                  </w:r>
                  <w:r>
                    <w:rPr>
                      <w:rFonts w:ascii="仿宋_GB2312" w:hAnsi="仿宋_GB2312" w:cs="仿宋_GB2312" w:eastAsia="仿宋_GB2312"/>
                      <w:sz w:val="21"/>
                    </w:rPr>
                    <w:t>IPV6静态、动态路由协议；</w:t>
                  </w:r>
                  <w:r>
                    <w:br/>
                  </w:r>
                  <w:r>
                    <w:rPr>
                      <w:rFonts w:ascii="仿宋_GB2312" w:hAnsi="仿宋_GB2312" w:cs="仿宋_GB2312" w:eastAsia="仿宋_GB2312"/>
                      <w:sz w:val="21"/>
                    </w:rPr>
                    <w:t>支持</w:t>
                  </w:r>
                  <w:r>
                    <w:rPr>
                      <w:rFonts w:ascii="仿宋_GB2312" w:hAnsi="仿宋_GB2312" w:cs="仿宋_GB2312" w:eastAsia="仿宋_GB2312"/>
                      <w:sz w:val="21"/>
                    </w:rPr>
                    <w:t>IPV6下的访问控制、IPSec VPN、DDoS防护等安全功能；</w:t>
                  </w:r>
                  <w:r>
                    <w:br/>
                  </w:r>
                  <w:r>
                    <w:rPr>
                      <w:rFonts w:ascii="仿宋_GB2312" w:hAnsi="仿宋_GB2312" w:cs="仿宋_GB2312" w:eastAsia="仿宋_GB2312"/>
                      <w:sz w:val="21"/>
                    </w:rPr>
                    <w:t>支持</w:t>
                  </w:r>
                  <w:r>
                    <w:rPr>
                      <w:rFonts w:ascii="仿宋_GB2312" w:hAnsi="仿宋_GB2312" w:cs="仿宋_GB2312" w:eastAsia="仿宋_GB2312"/>
                      <w:sz w:val="21"/>
                    </w:rPr>
                    <w:t>SDN功能；</w:t>
                  </w:r>
                  <w:r>
                    <w:br/>
                  </w:r>
                  <w:r>
                    <w:rPr>
                      <w:rFonts w:ascii="仿宋_GB2312" w:hAnsi="仿宋_GB2312" w:cs="仿宋_GB2312" w:eastAsia="仿宋_GB2312"/>
                      <w:sz w:val="21"/>
                    </w:rPr>
                    <w:t>支持</w:t>
                  </w:r>
                  <w:r>
                    <w:rPr>
                      <w:rFonts w:ascii="仿宋_GB2312" w:hAnsi="仿宋_GB2312" w:cs="仿宋_GB2312" w:eastAsia="仿宋_GB2312"/>
                      <w:sz w:val="21"/>
                    </w:rPr>
                    <w:t>SNMPv1、SNMPv2、SNMPv3等网络管理协议。</w:t>
                  </w:r>
                </w:p>
              </w:tc>
            </w:tr>
          </w:tbl>
          <w:p>
            <w:pPr>
              <w:pStyle w:val="null3"/>
            </w:pPr>
            <w:r>
              <w:rPr>
                <w:rFonts w:ascii="仿宋_GB2312" w:hAnsi="仿宋_GB2312" w:cs="仿宋_GB2312" w:eastAsia="仿宋_GB2312"/>
                <w:sz w:val="21"/>
              </w:rPr>
              <w:t>3.其他要求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1）驻场人员要求：投标人承诺提供法定工作日5×8小时有不少于2名驻场工程师；7×8小时应急响应保障服务。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2）由于医保信息平台所涉及的数据中心、骨干网链路及相关业务系统等当前均正常运行，且医保结算为实时业务，一旦中断将造成重大影响。因此涉及到需要机房设备搬迁及业务割接的，相关备份服务器等硬件资源和全省专线链路等需由投标人自行解决，迁移割接相关费用由投标人自行</w:t>
            </w:r>
            <w:r>
              <w:rPr>
                <w:rFonts w:ascii="仿宋_GB2312" w:hAnsi="仿宋_GB2312" w:cs="仿宋_GB2312" w:eastAsia="仿宋_GB2312"/>
                <w:sz w:val="21"/>
              </w:rPr>
              <w:t>承担，且迁移割接过程不能暂停或中断业务，投标人需提前做好评估和准备。</w:t>
            </w:r>
          </w:p>
          <w:p>
            <w:pPr>
              <w:pStyle w:val="null3"/>
              <w:ind w:firstLine="600"/>
            </w:pPr>
            <w:r>
              <w:rPr>
                <w:rFonts w:ascii="仿宋_GB2312" w:hAnsi="仿宋_GB2312" w:cs="仿宋_GB2312" w:eastAsia="仿宋_GB2312"/>
                <w:sz w:val="21"/>
              </w:rPr>
              <w:t>备注：</w:t>
            </w:r>
            <w:r>
              <w:rPr>
                <w:rFonts w:ascii="仿宋_GB2312" w:hAnsi="仿宋_GB2312" w:cs="仿宋_GB2312" w:eastAsia="仿宋_GB2312"/>
                <w:sz w:val="21"/>
              </w:rPr>
              <w:t>如非基础电信运营商厂家应标，需承诺可提供运营商网络资源，并在中标后提供相应授权，保障项目的顺利实施。（</w:t>
            </w:r>
            <w:r>
              <w:rPr>
                <w:rFonts w:ascii="仿宋_GB2312" w:hAnsi="仿宋_GB2312" w:cs="仿宋_GB2312" w:eastAsia="仿宋_GB2312"/>
                <w:sz w:val="21"/>
              </w:rPr>
              <w:t>提供承诺书</w:t>
            </w:r>
            <w:r>
              <w:rPr>
                <w:rFonts w:ascii="仿宋_GB2312" w:hAnsi="仿宋_GB2312" w:cs="仿宋_GB2312" w:eastAsia="仿宋_GB2312"/>
                <w:sz w:val="21"/>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服务期：一年（服务起止时间按采购人实际要求）。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陕西省医疗保障技术服务中心指定地点。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由陕西省医疗保障技术服务中心统一组织，采购人与相关人员组成验收小组完成验收。双方根据最终验收情况，编写最终验收报告。中标人应完成项目验收资料的准备。 在服务过程中出现性能指标或功能上不符合标书和合同要求时，由中标人负责解决，采购人有拒绝验收的权利并保留索赔权利。 本项目的实施过程中将产生大量的技术及管理文档，中标人应协助采购人，负责建立、维护、交接项目实施过程中产生的各类文档，确保项目文档的内容体现本项目的实施过程，并确保项目文档的完整性和准确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服务期满9个月未发生重大事故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服务期满10个月未发生重大事故并出具后续服务期的履约承诺书，经甲方确认合格后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结合项目实际特在此处进行说明：本项目合同履行期限:一年（服务起止时间按采购人实际要求），若因国家或省委省政府工作安排变化，将根据有关政策或要求缩短服务期限，提前终止合同。费用按照实际服务情况进项支付。 2、对于投标文件中提供的技术指标相关证明材料，招标人有权在合同阶段查看原件，投标人应按照招标人的要求提供原件。 3、招标文件要求签字或盖章之处，非法人单位均参照执行。 4、中标单位领取中标通知书时，提交纸质投标文件正本壹份、副本贰份、电子版壹份（U盘壹份注明单位名称）编辑目录和页码，内容和通过电子化交易平台实施的政府采购项目提交的投标文件一致。 纸质投标文件正副本分别胶装。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开标一览表、分项报价表.docx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投标方案说明.docx 中小企业声明函 商务条款响应说明.docx 投标函 残疾人福利性单位声明函 保证金交纳凭证.docx 标的清单 投标人资格证明文件.docx 投标文件封面 服务内容及服务邀请应答表.docx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投标方案说明.docx 中小企业声明函 商务条款响应说明.docx 投标函 残疾人福利性单位声明函 保证金交纳凭证.docx 标的清单 投标人资格证明文件.docx 投标文件封面 服务内容及服务邀请应答表.docx 开标一览表、分项报价表.docx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投标方案说明.docx 中小企业声明函 商务条款响应说明.docx 投标函 残疾人福利性单位声明函 保证金交纳凭证.docx 标的清单 投标人资格证明文件.docx 投标文件封面 服务内容及服务邀请应答表.docx 开标一览表、分项报价表.docx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总体技术响应</w:t>
            </w:r>
          </w:p>
        </w:tc>
        <w:tc>
          <w:tcPr>
            <w:tcW w:type="dxa" w:w="2492"/>
          </w:tcPr>
          <w:p>
            <w:pPr>
              <w:pStyle w:val="null3"/>
            </w:pPr>
            <w:r>
              <w:rPr>
                <w:rFonts w:ascii="仿宋_GB2312" w:hAnsi="仿宋_GB2312" w:cs="仿宋_GB2312" w:eastAsia="仿宋_GB2312"/>
              </w:rPr>
              <w:t>技术参数响应完全满足或优于招标文件要求的计27分；其中“▲”为重要技术参数，每负偏离一项扣1分；非“▲”每负偏离一项扣0.2分，扣完为止。 注：“▲”项必须提供佐证材料，否则视为负偏离，佐证材料可以使用生产厂家官方网站截图或生产厂家产品白皮书或产品实物照片等，证书类证明材料须提供国家主管部门颁发的证书或国家主管部门网站截图，指标要求中另有要求除外。未提供有效证明材料或证明材料中内容与所填报指标不一致的，该指标按不满足处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投标人需提供完善的项目管理方案，方案至少包含：①项目管理；②项目组织架构；③项目进度计划；④质量保障等。 上述内容无缺少、无瑕疵、满足采购文件要求计12分（单项内容分值为3分）；方案内容每有一处瑕疵扣1分，单项内容分值扣完为止，未提供不得分。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投标人提供完善可行的安全保障服务方案，方案至少包含：①网络安全；②容灾备份系统规划及设计；③灾备及应急演练等内容。 上述内容无缺少、无瑕疵、满足采购文件要求计6分（单项内容分值为2分）；方案内容每有一处瑕疵扣1分，单项内容分值扣完为止，未提供不得分。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网络建设方案</w:t>
            </w:r>
          </w:p>
        </w:tc>
        <w:tc>
          <w:tcPr>
            <w:tcW w:type="dxa" w:w="2492"/>
          </w:tcPr>
          <w:p>
            <w:pPr>
              <w:pStyle w:val="null3"/>
            </w:pPr>
            <w:r>
              <w:rPr>
                <w:rFonts w:ascii="仿宋_GB2312" w:hAnsi="仿宋_GB2312" w:cs="仿宋_GB2312" w:eastAsia="仿宋_GB2312"/>
              </w:rPr>
              <w:t>投标人针对本项目提供网络建设方案，方案至少包含：①医疗保障网络建设方案（包括数据中心内部、骨干网） 整体网络架构设计；②IP地址规划（包括数据中心及各地市节点设备）。 上述内容无缺少、无瑕疵、满足采购文件要求计6分（单项内容分值为3分）；方案内容每有一处瑕疵扣1分，单项内容分值扣完为止，未提供不得分。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运维服务</w:t>
            </w:r>
          </w:p>
        </w:tc>
        <w:tc>
          <w:tcPr>
            <w:tcW w:type="dxa" w:w="2492"/>
          </w:tcPr>
          <w:p>
            <w:pPr>
              <w:pStyle w:val="null3"/>
            </w:pPr>
            <w:r>
              <w:rPr>
                <w:rFonts w:ascii="仿宋_GB2312" w:hAnsi="仿宋_GB2312" w:cs="仿宋_GB2312" w:eastAsia="仿宋_GB2312"/>
              </w:rPr>
              <w:t>投标人针对本项目提供运维服务方案，方案至少包含：①全省售后服务体系；②服务机构数量、服务区域及明细表；③服务保障措施；④标准规范的技术支持体系。 上述内容无缺少、无瑕疵、满足采购文件要求计8分（单项内容分值为2分）；方案内容每有一处瑕疵扣1分，单项内容分值扣完为止，未提供不得分。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项目负责人（1名）具有高级工程师职称（通信专业）得1分，具有信息系统项目管理师证书得1分，其他情况得0分。 注：须提供上述人员相关证书及在本单位的任职证明并加盖公章，未提供或提供不全得0分。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投标人针对本项目拟派本项目服务团队，至少包含：①人员配备数量清单②人员职责分工；③人员工作经验及专业性④团队管理制度。 上述内容无缺少、无瑕疵、满足采购文件要求计4分（单项内容分值为1分）；方案内容每有一处瑕疵扣0.5分，单项内容分值扣完为止，未提供不得分。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投标人是第一类基础电信网络运营商的得6分，其他不得分。 注：对于上述内容，投标人须提供工业和信息化部颁发的基础电信业务经营许可证复印件加盖公章。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专线接入</w:t>
            </w:r>
          </w:p>
        </w:tc>
        <w:tc>
          <w:tcPr>
            <w:tcW w:type="dxa" w:w="2492"/>
          </w:tcPr>
          <w:p>
            <w:pPr>
              <w:pStyle w:val="null3"/>
            </w:pPr>
            <w:r>
              <w:rPr>
                <w:rFonts w:ascii="仿宋_GB2312" w:hAnsi="仿宋_GB2312" w:cs="仿宋_GB2312" w:eastAsia="仿宋_GB2312"/>
              </w:rPr>
              <w:t>1、接入其他运营商数量（1分）：满足两家及以上其他运营商专线接入的得1分；其他情况得0分。（注：需提供相关证明材料并加盖公章） 2、电子政务外网接入（1分）：投标人针对本项目提供自签订中标合同之日起两个月内机房实现与国家和陕西省电子政务外网接入的承诺函，不提供得0分。（注：提供承诺函并加盖公章。）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投标人承诺有不少于2名驻场工程师提供7×24 小时服务保障的得3分，否则得0分。 注：需提供承诺函并加盖公章。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投标人针对本项目应急保障服务响应时间小于5分钟（含）的得4分，响应时间5（不含）-10分钟的得2分；其它情况得0分 注：提供承诺函并加盖公章。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投标人提供2022年1月1日（以合同签订日期为准）至今类似项目业绩，每份业绩计2分，共计10分； 注：投标人需提供相关业绩合同复印件及对应至少一张发票，合同复印件至少包括投标人与用户签订的合同首页、合同关键页、签字盖章页等，缺项视为无效业绩。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开标一览表、分项报价表.docx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