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招标项目技术、服务、商务及其他要求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》按实际响应情况填写</w:t>
            </w:r>
            <w:r>
              <w:rPr>
                <w:rFonts w:hint="eastAsia" w:ascii="仿宋" w:hAnsi="仿宋" w:eastAsia="仿宋" w:cs="仿宋"/>
                <w:sz w:val="22"/>
                <w:szCs w:val="21"/>
                <w:u w:val="single"/>
              </w:rPr>
              <w:t>“无偏离/负偏离/优于”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2AC0A8F"/>
    <w:rsid w:val="0DF72FF8"/>
    <w:rsid w:val="2F437724"/>
    <w:rsid w:val="30F42FBF"/>
    <w:rsid w:val="3211266E"/>
    <w:rsid w:val="3DFA2E6D"/>
    <w:rsid w:val="41547C7E"/>
    <w:rsid w:val="47CB141F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1</TotalTime>
  <ScaleCrop>false</ScaleCrop>
  <LinksUpToDate>false</LinksUpToDate>
  <CharactersWithSpaces>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Easy。</cp:lastModifiedBy>
  <dcterms:modified xsi:type="dcterms:W3CDTF">2025-10-27T06:21:22Z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