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版本号：TDZB-2025-201920251024001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2025年罪犯生活物资采购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TDZB-2025-2019</w:t>
      </w:r>
      <w:r>
        <w:br/>
      </w:r>
      <w:r>
        <w:br/>
      </w:r>
      <w:r>
        <w:br/>
      </w:r>
    </w:p>
    <w:p>
      <w:pPr>
        <w:pStyle w:val="null3"/>
        <w:jc w:val="center"/>
        <w:outlineLvl w:val="2"/>
      </w:pPr>
      <w:r>
        <w:rPr>
          <w:rFonts w:ascii="仿宋_GB2312" w:hAnsi="仿宋_GB2312" w:cs="仿宋_GB2312" w:eastAsia="仿宋_GB2312"/>
          <w:sz w:val="28"/>
          <w:b/>
        </w:rPr>
        <w:t>陕西省华山监狱</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陕西省华山监狱</w:t>
      </w:r>
      <w:r>
        <w:rPr>
          <w:rFonts w:ascii="仿宋_GB2312" w:hAnsi="仿宋_GB2312" w:cs="仿宋_GB2312" w:eastAsia="仿宋_GB2312"/>
        </w:rPr>
        <w:t>委托，拟对</w:t>
      </w:r>
      <w:r>
        <w:rPr>
          <w:rFonts w:ascii="仿宋_GB2312" w:hAnsi="仿宋_GB2312" w:cs="仿宋_GB2312" w:eastAsia="仿宋_GB2312"/>
        </w:rPr>
        <w:t>2025年罪犯生活物资采购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TDZB-2025-2019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2025年罪犯生活物资采购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华山监狱对2025年罪犯生活物资采购组织公开招标，成交供应商应按照国家相关标准以及采购人要求按时将所需面、米、油配送至监狱。本项目分为三个采购包，具体划分如下：采购包1：面粉，预算金额：879700.00元；采购包2：大米，预算金额：422400.00元；采购包3：食用油，预算金额：203500.00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采购包1（面粉）：属于专门面向中小企业采购。</w:t>
      </w:r>
    </w:p>
    <w:p>
      <w:pPr>
        <w:pStyle w:val="null3"/>
      </w:pPr>
      <w:r>
        <w:rPr>
          <w:rFonts w:ascii="仿宋_GB2312" w:hAnsi="仿宋_GB2312" w:cs="仿宋_GB2312" w:eastAsia="仿宋_GB2312"/>
        </w:rPr>
        <w:t>采购包2（大米）：属于专门面向中小企业采购。</w:t>
      </w:r>
    </w:p>
    <w:p>
      <w:pPr>
        <w:pStyle w:val="null3"/>
      </w:pPr>
      <w:r>
        <w:rPr>
          <w:rFonts w:ascii="仿宋_GB2312" w:hAnsi="仿宋_GB2312" w:cs="仿宋_GB2312" w:eastAsia="仿宋_GB2312"/>
        </w:rPr>
        <w:t>采购包3（食用油）：属于专门面向中小企业采购。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10、供应商资质要求：投标人为生产厂家的须提供食品生产许可证；投标人为代理商的须提供食品经营许可证或预包装食品经营者备案表及所投产品生产厂家的食品生产许可证。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10、供应商资质要求：投标人为生产厂家的须提供食品生产许可证；投标人为代理商的须提供食品经营许可证或预包装食品经营者备案表及所投产品生产厂家的食品生产许可证。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10、供应商资质要求：投标人为生产厂家的须提供食品生产许可证；投标人为代理商的须提供食品经营许可证或预包装食品经营者备案表及所投产品生产厂家的食品生产许可证。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陕西省华山监狱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陕西省渭南市华州区莲花寺镇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0913-4817137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西安市未央区明光路与北三环十字东北角中建财智广场5号楼501室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申佩玉、朱小克、宁超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18729107315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采购包1：879,700.00元</w:t>
            </w:r>
          </w:p>
          <w:p>
            <w:pPr>
              <w:pStyle w:val="null3"/>
            </w:pPr>
            <w:r>
              <w:rPr>
                <w:rFonts w:ascii="仿宋_GB2312" w:hAnsi="仿宋_GB2312" w:cs="仿宋_GB2312" w:eastAsia="仿宋_GB2312"/>
              </w:rPr>
              <w:t>采购包2：422,400.00元</w:t>
            </w:r>
          </w:p>
          <w:p>
            <w:pPr>
              <w:pStyle w:val="null3"/>
            </w:pPr>
            <w:r>
              <w:rPr>
                <w:rFonts w:ascii="仿宋_GB2312" w:hAnsi="仿宋_GB2312" w:cs="仿宋_GB2312" w:eastAsia="仿宋_GB2312"/>
              </w:rPr>
              <w:t>采购包3：203,500.00元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说明：签订合同后,乙方向甲方支付中标价款的10%作为履约保证金。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说明：签订合同后,乙方向甲方支付中标价款的10%作为履约保证金。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说明：签订合同后,乙方向甲方支付中标价款的10%作为履约保证金。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代理服务费收费标准：按照原国家发展计划委员会《计价格[2002]1980号》和国家发展和改革委员会办公厅《发改办价格[2003]857号》文件的通知标准支付。 备注：在招标代理服务费或者投标保证金转账时需备注项目名称+采购包名称+招标代理服务费。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陕西省华山监狱</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陕西省华山监狱</w:t>
      </w:r>
      <w:r>
        <w:rPr>
          <w:rFonts w:ascii="仿宋_GB2312" w:hAnsi="仿宋_GB2312" w:cs="仿宋_GB2312" w:eastAsia="仿宋_GB2312"/>
        </w:rPr>
        <w:t>负责解释。除上述招标文件内容，其他内容由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陕西省华山监狱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地址：陕西省西安市经济技术开发区明光路177号中建财智广场5号楼501室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华山监狱对2025年罪犯生活物资采购组织公开招标，成交供应商应按照国家相关标准以及采购人要求按时将所需面、米、油配送至监狱。本项目分为三个采购包，具体划分如下：采购包1：面粉，预算金额：879700.00元；采购包2：大米，预算金额：422400.00元；采购包3：食用油，预算金额：203500.00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879,700.00</w:t>
      </w:r>
    </w:p>
    <w:p>
      <w:pPr>
        <w:pStyle w:val="null3"/>
      </w:pPr>
      <w:r>
        <w:rPr>
          <w:rFonts w:ascii="仿宋_GB2312" w:hAnsi="仿宋_GB2312" w:cs="仿宋_GB2312" w:eastAsia="仿宋_GB2312"/>
        </w:rPr>
        <w:t>采购包最高限价（元）: 879,700.00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标准面粉</w:t>
            </w:r>
          </w:p>
        </w:tc>
        <w:tc>
          <w:tcPr>
            <w:tcW w:type="dxa" w:w="831"/>
          </w:tcPr>
          <w:p>
            <w:pPr>
              <w:pStyle w:val="null3"/>
              <w:jc w:val="right"/>
            </w:pPr>
            <w:r>
              <w:rPr>
                <w:rFonts w:ascii="仿宋_GB2312" w:hAnsi="仿宋_GB2312" w:cs="仿宋_GB2312" w:eastAsia="仿宋_GB2312"/>
              </w:rPr>
              <w:t>9,500.00</w:t>
            </w:r>
          </w:p>
        </w:tc>
        <w:tc>
          <w:tcPr>
            <w:tcW w:type="dxa" w:w="831"/>
          </w:tcPr>
          <w:p>
            <w:pPr>
              <w:pStyle w:val="null3"/>
              <w:jc w:val="right"/>
            </w:pPr>
            <w:r>
              <w:rPr>
                <w:rFonts w:ascii="仿宋_GB2312" w:hAnsi="仿宋_GB2312" w:cs="仿宋_GB2312" w:eastAsia="仿宋_GB2312"/>
              </w:rPr>
              <w:t>879,700.00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422,400.00</w:t>
      </w:r>
    </w:p>
    <w:p>
      <w:pPr>
        <w:pStyle w:val="null3"/>
      </w:pPr>
      <w:r>
        <w:rPr>
          <w:rFonts w:ascii="仿宋_GB2312" w:hAnsi="仿宋_GB2312" w:cs="仿宋_GB2312" w:eastAsia="仿宋_GB2312"/>
        </w:rPr>
        <w:t>采购包最高限价（元）: 422,400.00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right"/>
            </w:pPr>
            <w:r>
              <w:rPr>
                <w:rFonts w:ascii="仿宋_GB2312" w:hAnsi="仿宋_GB2312" w:cs="仿宋_GB2312" w:eastAsia="仿宋_GB2312"/>
              </w:rPr>
              <w:t>422,400.00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203,500.00</w:t>
      </w:r>
    </w:p>
    <w:p>
      <w:pPr>
        <w:pStyle w:val="null3"/>
      </w:pPr>
      <w:r>
        <w:rPr>
          <w:rFonts w:ascii="仿宋_GB2312" w:hAnsi="仿宋_GB2312" w:cs="仿宋_GB2312" w:eastAsia="仿宋_GB2312"/>
        </w:rPr>
        <w:t>采购包最高限价（元）: 203,500.00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菜籽油</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right"/>
            </w:pPr>
            <w:r>
              <w:rPr>
                <w:rFonts w:ascii="仿宋_GB2312" w:hAnsi="仿宋_GB2312" w:cs="仿宋_GB2312" w:eastAsia="仿宋_GB2312"/>
              </w:rPr>
              <w:t>203,500.00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知名生产企业生产，非转基因小麦粉，不含任何添加剂。包装要求每袋</w:t>
            </w:r>
            <w:r>
              <w:rPr>
                <w:rFonts w:ascii="仿宋_GB2312" w:hAnsi="仿宋_GB2312" w:cs="仿宋_GB2312" w:eastAsia="仿宋_GB2312"/>
                <w:sz w:val="21"/>
              </w:rPr>
              <w:t xml:space="preserve">25 公斤，质量符合国家标准 </w:t>
            </w:r>
            <w:r>
              <w:rPr>
                <w:rFonts w:ascii="仿宋_GB2312" w:hAnsi="仿宋_GB2312" w:cs="仿宋_GB2312" w:eastAsia="仿宋_GB2312"/>
                <w:sz w:val="21"/>
              </w:rPr>
              <w:t>GB/T 1355-2021</w:t>
            </w:r>
            <w:r>
              <w:rPr>
                <w:rFonts w:ascii="仿宋_GB2312" w:hAnsi="仿宋_GB2312" w:cs="仿宋_GB2312" w:eastAsia="仿宋_GB2312"/>
                <w:sz w:val="21"/>
              </w:rPr>
              <w:t xml:space="preserve"> </w:t>
            </w:r>
            <w:r>
              <w:rPr>
                <w:rFonts w:ascii="仿宋_GB2312" w:hAnsi="仿宋_GB2312" w:cs="仿宋_GB2312" w:eastAsia="仿宋_GB2312"/>
                <w:sz w:val="21"/>
              </w:rPr>
              <w:t>精制粉</w:t>
            </w:r>
            <w:r>
              <w:rPr>
                <w:rFonts w:ascii="仿宋_GB2312" w:hAnsi="仿宋_GB2312" w:cs="仿宋_GB2312" w:eastAsia="仿宋_GB2312"/>
                <w:sz w:val="21"/>
              </w:rPr>
              <w:t>标准要求（须提供由国家指定质量检测机构出具的检验报告）。原料为</w:t>
            </w:r>
            <w:r>
              <w:rPr>
                <w:rFonts w:ascii="仿宋_GB2312" w:hAnsi="仿宋_GB2312" w:cs="仿宋_GB2312" w:eastAsia="仿宋_GB2312"/>
                <w:sz w:val="21"/>
              </w:rPr>
              <w:t>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知名生产企业，非转基因大米。包装要求：独立包装，每袋</w:t>
            </w:r>
            <w:r>
              <w:rPr>
                <w:rFonts w:ascii="仿宋_GB2312" w:hAnsi="仿宋_GB2312" w:cs="仿宋_GB2312" w:eastAsia="仿宋_GB2312"/>
                <w:sz w:val="21"/>
              </w:rPr>
              <w:t>25 公斤，质量符合国家标准GB/T1354-2018一级粳米标准要求（须提供由国家指定质量检测机构出具的检验报告）。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知名生产企业生产，规格</w:t>
            </w:r>
            <w:r>
              <w:rPr>
                <w:rFonts w:ascii="仿宋_GB2312" w:hAnsi="仿宋_GB2312" w:cs="仿宋_GB2312" w:eastAsia="仿宋_GB2312"/>
                <w:sz w:val="21"/>
              </w:rPr>
              <w:t>16.4L</w:t>
            </w:r>
            <w:r>
              <w:rPr>
                <w:rFonts w:ascii="仿宋_GB2312" w:hAnsi="仿宋_GB2312" w:cs="仿宋_GB2312" w:eastAsia="仿宋_GB2312"/>
                <w:sz w:val="21"/>
              </w:rPr>
              <w:t>/桶</w:t>
            </w:r>
            <w:r>
              <w:rPr>
                <w:rFonts w:ascii="仿宋_GB2312" w:hAnsi="仿宋_GB2312" w:cs="仿宋_GB2312" w:eastAsia="仿宋_GB2312"/>
                <w:sz w:val="21"/>
              </w:rPr>
              <w:t>,品种要求菜籽油（非转基因原料生产），质量标准具有正常植物油的色泽、透明度、气味和滋味，无焦臭、酸败及其它异味。标识要求：有“SC”标志及生产许可证号，执行标准；标明产品名称、净含量、生产企业名称、电话、地址、生产日期、保质期及营养成分表。供货时剩余保存期不少于标注保质期的二分之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本项目服务期限自合同签订之日起1年(具体服务起止日期可随合同签订时间相应顺延)，在接到供货通知后3日内送至指定地点。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投标报价是供应商响应本项目要求的全部工作内容的价格体现，包括供应商完成本项目所需的直接费、间接费、利润、税金及其它相关的一切费用。在提供服务的过程中的任何遗漏，均由中标供应商免费提供，采购人将不再支付任何费用。三、根据《陕西省财政厅关于进一步优化政府采购营商环境有关事项的通知》（陕财办采〔2023〕4号）要求，中标供应商应当在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满足招标文件要求,以本次最低有效投标报价为基准价，其价格分为满分。报价得分=（评审基准价／投标报价）×30%×100。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满足招标文件要求,以本次最低有效投标报价为基准价，其价格分为满分。报价得分=（评审基准价／投标报价）×30%×100。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满足招标文件要求,以本次最低有效投标报价为基准价，其价格分为满分。报价得分=（评审基准价／投标报价）×30%×100。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