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8AFE2">
      <w:pPr>
        <w:pStyle w:val="3"/>
        <w:spacing w:line="360" w:lineRule="auto"/>
        <w:jc w:val="center"/>
        <w:rPr>
          <w:rFonts w:hint="default" w:asciiTheme="minorEastAsia" w:hAnsiTheme="minorEastAsia" w:eastAsiaTheme="minorEastAsia"/>
          <w:b/>
          <w:bCs/>
          <w:sz w:val="36"/>
          <w:szCs w:val="36"/>
          <w:highlight w:val="none"/>
          <w:lang w:val="en-US" w:eastAsia="zh-CN"/>
        </w:rPr>
      </w:pPr>
      <w:r>
        <w:rPr>
          <w:rFonts w:hint="eastAsia" w:asciiTheme="minorEastAsia" w:hAnsiTheme="minorEastAsia"/>
          <w:b/>
          <w:bCs/>
          <w:sz w:val="36"/>
          <w:szCs w:val="36"/>
          <w:highlight w:val="none"/>
          <w:lang w:eastAsia="zh-CN"/>
        </w:rPr>
        <w:t>采购项目</w:t>
      </w:r>
      <w:r>
        <w:rPr>
          <w:rFonts w:hint="eastAsia" w:asciiTheme="minorEastAsia" w:hAnsiTheme="minorEastAsia" w:eastAsiaTheme="minorEastAsia"/>
          <w:b/>
          <w:bCs/>
          <w:sz w:val="36"/>
          <w:szCs w:val="36"/>
          <w:highlight w:val="none"/>
        </w:rPr>
        <w:t>合同</w:t>
      </w:r>
      <w:r>
        <w:rPr>
          <w:rFonts w:hint="eastAsia" w:asciiTheme="minorEastAsia" w:hAnsiTheme="minorEastAsia"/>
          <w:b/>
          <w:bCs/>
          <w:sz w:val="36"/>
          <w:szCs w:val="36"/>
          <w:highlight w:val="none"/>
          <w:lang w:eastAsia="zh-CN"/>
        </w:rPr>
        <w:t>（</w:t>
      </w:r>
      <w:r>
        <w:rPr>
          <w:rFonts w:hint="eastAsia" w:asciiTheme="minorEastAsia" w:hAnsiTheme="minorEastAsia"/>
          <w:b/>
          <w:bCs/>
          <w:sz w:val="36"/>
          <w:szCs w:val="36"/>
          <w:highlight w:val="none"/>
          <w:lang w:val="en-US" w:eastAsia="zh-CN"/>
        </w:rPr>
        <w:t>参考）</w:t>
      </w:r>
    </w:p>
    <w:p w14:paraId="6FD9A703">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需方（以下简称“甲方”）：</w:t>
      </w:r>
    </w:p>
    <w:p w14:paraId="6A35DD5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合同编号：</w:t>
      </w:r>
    </w:p>
    <w:p w14:paraId="3F00079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供方（以下简称“乙方”）：</w:t>
      </w:r>
    </w:p>
    <w:p w14:paraId="1B847B1B">
      <w:pPr>
        <w:pStyle w:val="3"/>
        <w:spacing w:line="360" w:lineRule="auto"/>
        <w:ind w:firstLine="480" w:firstLineChars="200"/>
        <w:jc w:val="both"/>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依据《中华人民共和国民法典》，甲乙双方经协商一致，就购买</w:t>
      </w:r>
      <w:r>
        <w:rPr>
          <w:rFonts w:hint="eastAsia" w:ascii="宋体" w:hAnsi="宋体" w:eastAsia="宋体" w:cs="宋体"/>
          <w:sz w:val="24"/>
          <w:szCs w:val="24"/>
          <w:highlight w:val="none"/>
          <w:u w:val="single"/>
        </w:rPr>
        <w:t xml:space="preserve">(项目名称) </w:t>
      </w:r>
    </w:p>
    <w:p w14:paraId="6017BC30">
      <w:pPr>
        <w:pStyle w:val="3"/>
        <w:spacing w:line="360" w:lineRule="auto"/>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事宜，确立本合同,双方共同遵守：</w:t>
      </w:r>
    </w:p>
    <w:p w14:paraId="1288E775">
      <w:pPr>
        <w:pStyle w:val="3"/>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一、产品名称、数量、价格：</w:t>
      </w:r>
    </w:p>
    <w:tbl>
      <w:tblPr>
        <w:tblStyle w:val="4"/>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268"/>
        <w:gridCol w:w="1051"/>
        <w:gridCol w:w="961"/>
        <w:gridCol w:w="1424"/>
        <w:gridCol w:w="835"/>
        <w:gridCol w:w="1019"/>
        <w:gridCol w:w="1169"/>
      </w:tblGrid>
      <w:tr w14:paraId="5C709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64" w:type="pct"/>
            <w:vAlign w:val="center"/>
          </w:tcPr>
          <w:p w14:paraId="7B302A3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744" w:type="pct"/>
            <w:vAlign w:val="center"/>
          </w:tcPr>
          <w:p w14:paraId="35A3090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产品名称</w:t>
            </w:r>
          </w:p>
        </w:tc>
        <w:tc>
          <w:tcPr>
            <w:tcW w:w="617" w:type="pct"/>
            <w:vAlign w:val="center"/>
          </w:tcPr>
          <w:p w14:paraId="0B3442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规格</w:t>
            </w:r>
          </w:p>
        </w:tc>
        <w:tc>
          <w:tcPr>
            <w:tcW w:w="564" w:type="pct"/>
            <w:vAlign w:val="center"/>
          </w:tcPr>
          <w:p w14:paraId="6103679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品牌</w:t>
            </w:r>
          </w:p>
        </w:tc>
        <w:tc>
          <w:tcPr>
            <w:tcW w:w="836" w:type="pct"/>
            <w:vAlign w:val="center"/>
          </w:tcPr>
          <w:p w14:paraId="046893C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生产厂家</w:t>
            </w:r>
          </w:p>
        </w:tc>
        <w:tc>
          <w:tcPr>
            <w:tcW w:w="490" w:type="pct"/>
            <w:vAlign w:val="center"/>
          </w:tcPr>
          <w:p w14:paraId="340AE5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数量</w:t>
            </w:r>
          </w:p>
        </w:tc>
        <w:tc>
          <w:tcPr>
            <w:tcW w:w="596" w:type="pct"/>
            <w:vAlign w:val="center"/>
          </w:tcPr>
          <w:p w14:paraId="29D8C9EB">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单价(元)</w:t>
            </w:r>
          </w:p>
        </w:tc>
        <w:tc>
          <w:tcPr>
            <w:tcW w:w="686" w:type="pct"/>
            <w:vAlign w:val="center"/>
          </w:tcPr>
          <w:p w14:paraId="196A3F80">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 元)</w:t>
            </w:r>
          </w:p>
        </w:tc>
      </w:tr>
      <w:tr w14:paraId="3595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64" w:type="pct"/>
            <w:vAlign w:val="center"/>
          </w:tcPr>
          <w:p w14:paraId="2A708015">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744" w:type="pct"/>
            <w:vAlign w:val="center"/>
          </w:tcPr>
          <w:p w14:paraId="28B4BD21">
            <w:pPr>
              <w:adjustRightInd w:val="0"/>
              <w:snapToGrid w:val="0"/>
              <w:spacing w:line="360" w:lineRule="auto"/>
              <w:jc w:val="center"/>
              <w:rPr>
                <w:rFonts w:hint="eastAsia" w:ascii="宋体" w:hAnsi="宋体" w:eastAsia="宋体" w:cs="宋体"/>
                <w:sz w:val="24"/>
                <w:szCs w:val="24"/>
                <w:highlight w:val="none"/>
              </w:rPr>
            </w:pPr>
          </w:p>
        </w:tc>
        <w:tc>
          <w:tcPr>
            <w:tcW w:w="617" w:type="pct"/>
            <w:vAlign w:val="center"/>
          </w:tcPr>
          <w:p w14:paraId="5E63DB62">
            <w:pPr>
              <w:adjustRightInd w:val="0"/>
              <w:snapToGrid w:val="0"/>
              <w:spacing w:line="360" w:lineRule="auto"/>
              <w:jc w:val="center"/>
              <w:rPr>
                <w:rFonts w:hint="eastAsia" w:ascii="宋体" w:hAnsi="宋体" w:eastAsia="宋体" w:cs="宋体"/>
                <w:sz w:val="24"/>
                <w:szCs w:val="24"/>
                <w:highlight w:val="none"/>
              </w:rPr>
            </w:pPr>
          </w:p>
        </w:tc>
        <w:tc>
          <w:tcPr>
            <w:tcW w:w="564" w:type="pct"/>
          </w:tcPr>
          <w:p w14:paraId="3A6ED545">
            <w:pPr>
              <w:adjustRightInd w:val="0"/>
              <w:snapToGrid w:val="0"/>
              <w:spacing w:line="360" w:lineRule="auto"/>
              <w:jc w:val="center"/>
              <w:rPr>
                <w:rFonts w:hint="eastAsia" w:ascii="宋体" w:hAnsi="宋体" w:eastAsia="宋体" w:cs="宋体"/>
                <w:sz w:val="24"/>
                <w:szCs w:val="24"/>
                <w:highlight w:val="none"/>
              </w:rPr>
            </w:pPr>
          </w:p>
        </w:tc>
        <w:tc>
          <w:tcPr>
            <w:tcW w:w="836" w:type="pct"/>
            <w:vAlign w:val="center"/>
          </w:tcPr>
          <w:p w14:paraId="073A1AD5">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72CDC089">
            <w:pPr>
              <w:adjustRightInd w:val="0"/>
              <w:snapToGrid w:val="0"/>
              <w:spacing w:line="360" w:lineRule="auto"/>
              <w:jc w:val="center"/>
              <w:rPr>
                <w:rFonts w:hint="eastAsia" w:ascii="宋体" w:hAnsi="宋体" w:eastAsia="宋体" w:cs="宋体"/>
                <w:sz w:val="24"/>
                <w:szCs w:val="24"/>
                <w:highlight w:val="none"/>
              </w:rPr>
            </w:pPr>
          </w:p>
        </w:tc>
        <w:tc>
          <w:tcPr>
            <w:tcW w:w="596" w:type="pct"/>
            <w:vAlign w:val="center"/>
          </w:tcPr>
          <w:p w14:paraId="78671B37">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45A3F872">
            <w:pPr>
              <w:adjustRightInd w:val="0"/>
              <w:snapToGrid w:val="0"/>
              <w:spacing w:line="360" w:lineRule="auto"/>
              <w:jc w:val="center"/>
              <w:rPr>
                <w:rFonts w:hint="eastAsia" w:ascii="宋体" w:hAnsi="宋体" w:eastAsia="宋体" w:cs="宋体"/>
                <w:sz w:val="24"/>
                <w:szCs w:val="24"/>
                <w:highlight w:val="none"/>
              </w:rPr>
            </w:pPr>
          </w:p>
        </w:tc>
      </w:tr>
      <w:tr w14:paraId="72B4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64" w:type="pct"/>
            <w:vAlign w:val="center"/>
          </w:tcPr>
          <w:p w14:paraId="53E493BF">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744" w:type="pct"/>
            <w:vAlign w:val="center"/>
          </w:tcPr>
          <w:p w14:paraId="329558F8">
            <w:pPr>
              <w:adjustRightInd w:val="0"/>
              <w:snapToGrid w:val="0"/>
              <w:spacing w:line="360" w:lineRule="auto"/>
              <w:jc w:val="center"/>
              <w:rPr>
                <w:rFonts w:hint="eastAsia" w:ascii="宋体" w:hAnsi="宋体" w:eastAsia="宋体" w:cs="宋体"/>
                <w:sz w:val="24"/>
                <w:szCs w:val="24"/>
                <w:highlight w:val="none"/>
              </w:rPr>
            </w:pPr>
          </w:p>
        </w:tc>
        <w:tc>
          <w:tcPr>
            <w:tcW w:w="617" w:type="pct"/>
            <w:vAlign w:val="center"/>
          </w:tcPr>
          <w:p w14:paraId="66B735FC">
            <w:pPr>
              <w:adjustRightInd w:val="0"/>
              <w:snapToGrid w:val="0"/>
              <w:spacing w:line="360" w:lineRule="auto"/>
              <w:jc w:val="center"/>
              <w:rPr>
                <w:rFonts w:hint="eastAsia" w:ascii="宋体" w:hAnsi="宋体" w:eastAsia="宋体" w:cs="宋体"/>
                <w:sz w:val="24"/>
                <w:szCs w:val="24"/>
                <w:highlight w:val="none"/>
              </w:rPr>
            </w:pPr>
          </w:p>
        </w:tc>
        <w:tc>
          <w:tcPr>
            <w:tcW w:w="564" w:type="pct"/>
          </w:tcPr>
          <w:p w14:paraId="4E1036E0">
            <w:pPr>
              <w:adjustRightInd w:val="0"/>
              <w:snapToGrid w:val="0"/>
              <w:spacing w:line="360" w:lineRule="auto"/>
              <w:jc w:val="center"/>
              <w:rPr>
                <w:rFonts w:hint="eastAsia" w:ascii="宋体" w:hAnsi="宋体" w:eastAsia="宋体" w:cs="宋体"/>
                <w:sz w:val="24"/>
                <w:szCs w:val="24"/>
                <w:highlight w:val="none"/>
              </w:rPr>
            </w:pPr>
          </w:p>
        </w:tc>
        <w:tc>
          <w:tcPr>
            <w:tcW w:w="836" w:type="pct"/>
            <w:vAlign w:val="center"/>
          </w:tcPr>
          <w:p w14:paraId="366981F7">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01B4CE77">
            <w:pPr>
              <w:adjustRightInd w:val="0"/>
              <w:snapToGrid w:val="0"/>
              <w:spacing w:line="360" w:lineRule="auto"/>
              <w:jc w:val="center"/>
              <w:rPr>
                <w:rFonts w:hint="eastAsia" w:ascii="宋体" w:hAnsi="宋体" w:eastAsia="宋体" w:cs="宋体"/>
                <w:sz w:val="24"/>
                <w:szCs w:val="24"/>
                <w:highlight w:val="none"/>
              </w:rPr>
            </w:pPr>
          </w:p>
        </w:tc>
        <w:tc>
          <w:tcPr>
            <w:tcW w:w="596" w:type="pct"/>
            <w:vAlign w:val="center"/>
          </w:tcPr>
          <w:p w14:paraId="56F40133">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6B53F58">
            <w:pPr>
              <w:adjustRightInd w:val="0"/>
              <w:snapToGrid w:val="0"/>
              <w:spacing w:line="360" w:lineRule="auto"/>
              <w:jc w:val="center"/>
              <w:rPr>
                <w:rFonts w:hint="eastAsia" w:ascii="宋体" w:hAnsi="宋体" w:eastAsia="宋体" w:cs="宋体"/>
                <w:sz w:val="24"/>
                <w:szCs w:val="24"/>
                <w:highlight w:val="none"/>
              </w:rPr>
            </w:pPr>
          </w:p>
        </w:tc>
      </w:tr>
      <w:tr w14:paraId="6886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64" w:type="pct"/>
            <w:vAlign w:val="center"/>
          </w:tcPr>
          <w:p w14:paraId="3B108DBA">
            <w:pPr>
              <w:adjustRightInd w:val="0"/>
              <w:snapToGrid w:val="0"/>
              <w:spacing w:line="360" w:lineRule="auto"/>
              <w:jc w:val="center"/>
              <w:rPr>
                <w:rFonts w:hint="default" w:ascii="宋体" w:hAnsi="宋体" w:eastAsia="宋体" w:cs="宋体"/>
                <w:sz w:val="24"/>
                <w:szCs w:val="24"/>
                <w:highlight w:val="none"/>
                <w:lang w:val="en-US" w:eastAsia="zh-CN"/>
              </w:rPr>
            </w:pPr>
            <w:r>
              <w:rPr>
                <w:rFonts w:hint="eastAsia" w:hAnsi="宋体" w:cs="宋体"/>
                <w:sz w:val="24"/>
                <w:szCs w:val="24"/>
                <w:highlight w:val="none"/>
                <w:lang w:val="en-US" w:eastAsia="zh-CN"/>
              </w:rPr>
              <w:t>...</w:t>
            </w:r>
          </w:p>
        </w:tc>
        <w:tc>
          <w:tcPr>
            <w:tcW w:w="744" w:type="pct"/>
            <w:vAlign w:val="center"/>
          </w:tcPr>
          <w:p w14:paraId="4689A9D6">
            <w:pPr>
              <w:adjustRightInd w:val="0"/>
              <w:snapToGrid w:val="0"/>
              <w:spacing w:line="360" w:lineRule="auto"/>
              <w:jc w:val="center"/>
              <w:rPr>
                <w:rFonts w:hint="eastAsia" w:ascii="宋体" w:hAnsi="宋体" w:eastAsia="宋体" w:cs="宋体"/>
                <w:sz w:val="24"/>
                <w:szCs w:val="24"/>
                <w:highlight w:val="none"/>
              </w:rPr>
            </w:pPr>
          </w:p>
        </w:tc>
        <w:tc>
          <w:tcPr>
            <w:tcW w:w="617" w:type="pct"/>
            <w:vAlign w:val="center"/>
          </w:tcPr>
          <w:p w14:paraId="0624CD37">
            <w:pPr>
              <w:adjustRightInd w:val="0"/>
              <w:snapToGrid w:val="0"/>
              <w:spacing w:line="360" w:lineRule="auto"/>
              <w:jc w:val="center"/>
              <w:rPr>
                <w:rFonts w:hint="eastAsia" w:ascii="宋体" w:hAnsi="宋体" w:eastAsia="宋体" w:cs="宋体"/>
                <w:sz w:val="24"/>
                <w:szCs w:val="24"/>
                <w:highlight w:val="none"/>
              </w:rPr>
            </w:pPr>
          </w:p>
        </w:tc>
        <w:tc>
          <w:tcPr>
            <w:tcW w:w="564" w:type="pct"/>
          </w:tcPr>
          <w:p w14:paraId="7C2F8E41">
            <w:pPr>
              <w:adjustRightInd w:val="0"/>
              <w:snapToGrid w:val="0"/>
              <w:spacing w:line="360" w:lineRule="auto"/>
              <w:jc w:val="center"/>
              <w:rPr>
                <w:rFonts w:hint="eastAsia" w:ascii="宋体" w:hAnsi="宋体" w:eastAsia="宋体" w:cs="宋体"/>
                <w:sz w:val="24"/>
                <w:szCs w:val="24"/>
                <w:highlight w:val="none"/>
              </w:rPr>
            </w:pPr>
          </w:p>
        </w:tc>
        <w:tc>
          <w:tcPr>
            <w:tcW w:w="836" w:type="pct"/>
            <w:vAlign w:val="center"/>
          </w:tcPr>
          <w:p w14:paraId="0418CA5E">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68E86DCA">
            <w:pPr>
              <w:adjustRightInd w:val="0"/>
              <w:snapToGrid w:val="0"/>
              <w:spacing w:line="360" w:lineRule="auto"/>
              <w:jc w:val="center"/>
              <w:rPr>
                <w:rFonts w:hint="eastAsia" w:ascii="宋体" w:hAnsi="宋体" w:eastAsia="宋体" w:cs="宋体"/>
                <w:sz w:val="24"/>
                <w:szCs w:val="24"/>
                <w:highlight w:val="none"/>
              </w:rPr>
            </w:pPr>
          </w:p>
        </w:tc>
        <w:tc>
          <w:tcPr>
            <w:tcW w:w="596" w:type="pct"/>
            <w:vAlign w:val="center"/>
          </w:tcPr>
          <w:p w14:paraId="7D54CFDA">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DFBB0D5">
            <w:pPr>
              <w:adjustRightInd w:val="0"/>
              <w:snapToGrid w:val="0"/>
              <w:spacing w:line="360" w:lineRule="auto"/>
              <w:jc w:val="center"/>
              <w:rPr>
                <w:rFonts w:hint="eastAsia" w:ascii="宋体" w:hAnsi="宋体" w:eastAsia="宋体" w:cs="宋体"/>
                <w:sz w:val="24"/>
                <w:szCs w:val="24"/>
                <w:highlight w:val="none"/>
              </w:rPr>
            </w:pPr>
          </w:p>
        </w:tc>
      </w:tr>
      <w:tr w14:paraId="2D49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64" w:type="pct"/>
            <w:vAlign w:val="center"/>
          </w:tcPr>
          <w:p w14:paraId="0146F18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w:t>
            </w:r>
          </w:p>
        </w:tc>
        <w:tc>
          <w:tcPr>
            <w:tcW w:w="3849" w:type="pct"/>
            <w:gridSpan w:val="6"/>
            <w:vAlign w:val="center"/>
          </w:tcPr>
          <w:p w14:paraId="52B5BB02">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大写：                                      （含税价）</w:t>
            </w:r>
          </w:p>
        </w:tc>
        <w:tc>
          <w:tcPr>
            <w:tcW w:w="686" w:type="pct"/>
            <w:vAlign w:val="center"/>
          </w:tcPr>
          <w:p w14:paraId="25E24DB1">
            <w:pPr>
              <w:adjustRightInd w:val="0"/>
              <w:snapToGrid w:val="0"/>
              <w:spacing w:line="360" w:lineRule="auto"/>
              <w:jc w:val="center"/>
              <w:rPr>
                <w:rFonts w:hint="eastAsia" w:ascii="宋体" w:hAnsi="宋体" w:eastAsia="宋体" w:cs="宋体"/>
                <w:b/>
                <w:sz w:val="24"/>
                <w:szCs w:val="24"/>
                <w:highlight w:val="none"/>
              </w:rPr>
            </w:pPr>
          </w:p>
        </w:tc>
      </w:tr>
    </w:tbl>
    <w:p w14:paraId="73D5CAA7">
      <w:pPr>
        <w:pStyle w:val="3"/>
        <w:spacing w:line="360" w:lineRule="auto"/>
        <w:ind w:firstLine="480" w:firstLineChars="200"/>
        <w:rPr>
          <w:rFonts w:hint="eastAsia" w:ascii="宋体" w:hAnsi="宋体" w:eastAsia="宋体" w:cs="宋体"/>
          <w:sz w:val="24"/>
          <w:szCs w:val="24"/>
          <w:highlight w:val="none"/>
        </w:rPr>
      </w:pPr>
      <w:r>
        <w:rPr>
          <w:rFonts w:hint="eastAsia" w:hAnsi="宋体" w:cs="宋体"/>
          <w:sz w:val="24"/>
          <w:szCs w:val="24"/>
          <w:highlight w:val="none"/>
          <w:lang w:eastAsia="zh-CN"/>
        </w:rPr>
        <w:t>注：</w:t>
      </w:r>
      <w:r>
        <w:rPr>
          <w:rFonts w:hint="eastAsia" w:ascii="宋体" w:hAnsi="宋体" w:eastAsia="宋体" w:cs="宋体"/>
          <w:sz w:val="24"/>
          <w:szCs w:val="24"/>
          <w:highlight w:val="none"/>
        </w:rPr>
        <w:t>合同总金额包括货物价款、检验、包装、运输、保险等全部费用，如果招投标文件对其另有规定的，从其规定。</w:t>
      </w:r>
    </w:p>
    <w:p w14:paraId="784F59B8">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二、质量标准：</w:t>
      </w:r>
    </w:p>
    <w:p w14:paraId="72336DF6">
      <w:pPr>
        <w:pStyle w:val="3"/>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乙方提供的货物必须符合中华人民共和国国家安全环保标准，国家及有关行业产品质量认证标准。招标文件的质量要求及双方签字确认的技术协议作为本合同的有效</w:t>
      </w:r>
      <w:r>
        <w:rPr>
          <w:rFonts w:hint="eastAsia" w:ascii="宋体" w:hAnsi="宋体" w:eastAsia="宋体" w:cs="宋体"/>
          <w:b w:val="0"/>
          <w:bCs w:val="0"/>
          <w:sz w:val="24"/>
          <w:szCs w:val="24"/>
          <w:highlight w:val="none"/>
        </w:rPr>
        <w:t>附件。</w:t>
      </w:r>
    </w:p>
    <w:p w14:paraId="3B853132">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三、交货日期、方式及地点：</w:t>
      </w:r>
    </w:p>
    <w:p w14:paraId="7B2F8223">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日</w:t>
      </w:r>
      <w:r>
        <w:rPr>
          <w:rFonts w:hint="eastAsia" w:ascii="宋体" w:hAnsi="宋体" w:eastAsia="宋体" w:cs="宋体"/>
          <w:sz w:val="24"/>
          <w:szCs w:val="24"/>
          <w:highlight w:val="none"/>
        </w:rPr>
        <w:t>前，乙方将所供货物送至</w:t>
      </w:r>
      <w:r>
        <w:rPr>
          <w:rFonts w:hint="eastAsia" w:hAnsi="宋体" w:cs="宋体"/>
          <w:sz w:val="24"/>
          <w:szCs w:val="24"/>
          <w:highlight w:val="none"/>
          <w:lang w:eastAsia="zh-CN"/>
        </w:rPr>
        <w:t>陕西省华山监狱</w:t>
      </w:r>
      <w:r>
        <w:rPr>
          <w:rFonts w:hint="eastAsia" w:ascii="宋体" w:hAnsi="宋体" w:eastAsia="宋体" w:cs="宋体"/>
          <w:sz w:val="24"/>
          <w:szCs w:val="24"/>
          <w:highlight w:val="none"/>
        </w:rPr>
        <w:t>指定位置。</w:t>
      </w:r>
    </w:p>
    <w:p w14:paraId="340E442A">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四、乙方对质量保证的条件及期限：</w:t>
      </w:r>
    </w:p>
    <w:p w14:paraId="31861EDD">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1、货物自验收合格之日起保质期</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eastAsia="zh-CN"/>
        </w:rPr>
        <w:t>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年。在保质期内因货物质量问题，乙方负责免费退换。</w:t>
      </w:r>
    </w:p>
    <w:p w14:paraId="5DE8A1F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2、乙方所供的货物必须是双方招投标文件规定的最新产品。</w:t>
      </w:r>
    </w:p>
    <w:p w14:paraId="70CE098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五、货物的包装及运输：</w:t>
      </w:r>
    </w:p>
    <w:p w14:paraId="39A53A4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1、乙方应在货物发运前对其进行满足于运输距离和防破损装卸要求的包装，以保证货物安全运输到达甲方指定地点。途中发生包装物破损的情况，甲方有权拒收货物。</w:t>
      </w:r>
    </w:p>
    <w:p w14:paraId="67B4461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2、包装上注明货物品种及数量。</w:t>
      </w:r>
    </w:p>
    <w:p w14:paraId="0814820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3、运输方式：乙方负责运输并承担运输、装卸、倒运及运保费等费用。</w:t>
      </w:r>
    </w:p>
    <w:p w14:paraId="01772A7F">
      <w:pPr>
        <w:pStyle w:val="3"/>
        <w:spacing w:line="360" w:lineRule="auto"/>
        <w:ind w:firstLine="482" w:firstLineChars="200"/>
        <w:rPr>
          <w:rFonts w:hint="eastAsia" w:ascii="宋体" w:hAnsi="宋体" w:eastAsia="宋体" w:cs="宋体"/>
          <w:b/>
          <w:bCs/>
          <w:color w:val="FF0000"/>
          <w:sz w:val="24"/>
          <w:szCs w:val="24"/>
          <w:highlight w:val="none"/>
        </w:rPr>
      </w:pPr>
      <w:r>
        <w:rPr>
          <w:rFonts w:hint="eastAsia" w:ascii="宋体" w:hAnsi="宋体" w:eastAsia="宋体" w:cs="宋体"/>
          <w:b/>
          <w:bCs/>
          <w:sz w:val="24"/>
          <w:szCs w:val="24"/>
          <w:highlight w:val="none"/>
        </w:rPr>
        <w:t>六、货物验收：</w:t>
      </w:r>
    </w:p>
    <w:p w14:paraId="0B484D9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1、乙方负责搬运，甲方提供必要的工作条件（水电等）。</w:t>
      </w:r>
    </w:p>
    <w:p w14:paraId="6722AD9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2、甲方对乙方所货物依照国家有关标准和双方确认的标准进行现场验收。质量达到要求的，验收通过；验收不合格的，限期退换。</w:t>
      </w:r>
    </w:p>
    <w:p w14:paraId="040596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3、如因货物的质量问题发生争议，由甲方属地质量监督部门进行质量鉴定；货物符合质量标准的，鉴定费由甲方承担；货物不符合质量标准的，鉴定费由乙方承担，同时按本合同第八条第3款处理。</w:t>
      </w:r>
    </w:p>
    <w:p w14:paraId="45B7B11D">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七、付款方式及期限：</w:t>
      </w:r>
    </w:p>
    <w:p w14:paraId="5CC4B9B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1、结算单位：采购人结算，在付款前必须开具等额发票给采购人。</w:t>
      </w:r>
    </w:p>
    <w:p w14:paraId="41A67F73">
      <w:pPr>
        <w:pStyle w:val="3"/>
        <w:spacing w:line="360" w:lineRule="auto"/>
        <w:ind w:firstLine="480" w:firstLineChars="200"/>
        <w:rPr>
          <w:rFonts w:hint="eastAsia" w:hAnsi="宋体" w:cs="宋体"/>
          <w:sz w:val="24"/>
          <w:szCs w:val="24"/>
          <w:highlight w:val="none"/>
          <w:lang w:eastAsia="zh-CN"/>
        </w:rPr>
      </w:pPr>
      <w:r>
        <w:rPr>
          <w:rFonts w:hint="eastAsia" w:ascii="宋体" w:hAnsi="宋体" w:eastAsia="宋体" w:cs="宋体"/>
          <w:sz w:val="24"/>
          <w:szCs w:val="24"/>
          <w:highlight w:val="none"/>
        </w:rPr>
        <w:t>2、付款方式</w:t>
      </w:r>
      <w:r>
        <w:rPr>
          <w:rFonts w:hint="eastAsia" w:hAnsi="宋体" w:cs="宋体"/>
          <w:sz w:val="24"/>
          <w:szCs w:val="24"/>
          <w:highlight w:val="none"/>
          <w:lang w:eastAsia="zh-CN"/>
        </w:rPr>
        <w:t>：按月</w:t>
      </w:r>
      <w:r>
        <w:rPr>
          <w:rFonts w:hint="eastAsia" w:ascii="宋体" w:hAnsi="宋体" w:eastAsia="宋体" w:cs="宋体"/>
          <w:sz w:val="24"/>
          <w:szCs w:val="24"/>
          <w:highlight w:val="none"/>
        </w:rPr>
        <w:t>据实结算</w:t>
      </w:r>
      <w:r>
        <w:rPr>
          <w:rFonts w:hint="eastAsia" w:hAnsi="宋体" w:cs="宋体"/>
          <w:sz w:val="24"/>
          <w:szCs w:val="24"/>
          <w:highlight w:val="none"/>
          <w:lang w:eastAsia="zh-CN"/>
        </w:rPr>
        <w:t>，次月付上月货款</w:t>
      </w:r>
      <w:r>
        <w:rPr>
          <w:rFonts w:hint="eastAsia" w:ascii="宋体" w:hAnsi="宋体" w:eastAsia="宋体" w:cs="宋体"/>
          <w:sz w:val="24"/>
          <w:szCs w:val="24"/>
          <w:highlight w:val="none"/>
        </w:rPr>
        <w:t>；结算单价以中标人响应单价为准，结算数量以实际发放数量为准</w:t>
      </w:r>
      <w:r>
        <w:rPr>
          <w:rFonts w:hint="eastAsia" w:hAnsi="宋体" w:cs="宋体"/>
          <w:sz w:val="24"/>
          <w:szCs w:val="24"/>
          <w:highlight w:val="none"/>
          <w:lang w:eastAsia="zh-CN"/>
        </w:rPr>
        <w:t>。</w:t>
      </w:r>
    </w:p>
    <w:p w14:paraId="431EB9F1">
      <w:pPr>
        <w:pStyle w:val="3"/>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3、履约保证金：签订合同后,乙方向甲方支付中标价款的10%作为履约保证金，合同履约完成后甲方向乙方</w:t>
      </w:r>
      <w:bookmarkStart w:id="0" w:name="_GoBack"/>
      <w:bookmarkEnd w:id="0"/>
      <w:r>
        <w:rPr>
          <w:rFonts w:hint="eastAsia" w:ascii="宋体" w:hAnsi="宋体" w:eastAsia="宋体" w:cs="宋体"/>
          <w:sz w:val="24"/>
          <w:szCs w:val="24"/>
          <w:highlight w:val="none"/>
          <w:lang w:val="en-US" w:eastAsia="zh-CN"/>
        </w:rPr>
        <w:t>退回已缴纳的履约保证金。</w:t>
      </w:r>
    </w:p>
    <w:p w14:paraId="22785256">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八、违约责任：</w:t>
      </w:r>
    </w:p>
    <w:p w14:paraId="1D54606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389FC7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2、甲方无正当理由拒收货物，应向乙方支付合同总价款10%的违约金。</w:t>
      </w:r>
    </w:p>
    <w:p w14:paraId="5FECFB00">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3、乙方所交的货物品种、规格、质量不符合合同约定、国家标准，所供货物达不到约定质量要求的，乙方必须无条件退回全部货款，并向甲方支付合同总价款10%的赔偿金。</w:t>
      </w:r>
    </w:p>
    <w:p w14:paraId="7DB9025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九、争议解决方式：</w:t>
      </w:r>
    </w:p>
    <w:p w14:paraId="761603E7">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本合同执行中发生争议的，双方应协商解决。协商达不成一致时，须向采购人所在地人民法院提请诉讼。</w:t>
      </w:r>
    </w:p>
    <w:p w14:paraId="274F792B">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十、其他：</w:t>
      </w:r>
    </w:p>
    <w:p w14:paraId="5E90038B">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本合同自双方签字盖章之日起生效。本合同一式伍份，甲方执</w:t>
      </w:r>
      <w:r>
        <w:rPr>
          <w:rFonts w:hint="eastAsia" w:hAnsi="宋体" w:cs="宋体"/>
          <w:sz w:val="24"/>
          <w:szCs w:val="24"/>
          <w:highlight w:val="none"/>
          <w:lang w:eastAsia="zh-CN"/>
        </w:rPr>
        <w:t>叁</w:t>
      </w:r>
      <w:r>
        <w:rPr>
          <w:rFonts w:hint="eastAsia" w:ascii="宋体" w:hAnsi="宋体" w:eastAsia="宋体" w:cs="宋体"/>
          <w:sz w:val="24"/>
          <w:szCs w:val="24"/>
          <w:highlight w:val="none"/>
        </w:rPr>
        <w:t>份，乙方执</w:t>
      </w:r>
      <w:r>
        <w:rPr>
          <w:rFonts w:hint="eastAsia" w:hAnsi="宋体" w:cs="宋体"/>
          <w:sz w:val="24"/>
          <w:szCs w:val="24"/>
          <w:highlight w:val="none"/>
          <w:lang w:eastAsia="zh-CN"/>
        </w:rPr>
        <w:t>贰</w:t>
      </w:r>
      <w:r>
        <w:rPr>
          <w:rFonts w:hint="eastAsia" w:ascii="宋体" w:hAnsi="宋体" w:eastAsia="宋体" w:cs="宋体"/>
          <w:sz w:val="24"/>
          <w:szCs w:val="24"/>
          <w:highlight w:val="none"/>
        </w:rPr>
        <w:t xml:space="preserve">份，具有同等法律效力。 </w:t>
      </w:r>
    </w:p>
    <w:p w14:paraId="0EFB9066">
      <w:pPr>
        <w:pStyle w:val="3"/>
        <w:spacing w:line="360" w:lineRule="auto"/>
        <w:ind w:firstLine="480" w:firstLineChars="200"/>
        <w:rPr>
          <w:rFonts w:hint="eastAsia" w:ascii="宋体" w:hAnsi="宋体" w:eastAsia="宋体" w:cs="宋体"/>
          <w:sz w:val="24"/>
          <w:szCs w:val="24"/>
          <w:highlight w:val="none"/>
        </w:rPr>
      </w:pPr>
    </w:p>
    <w:p w14:paraId="4E8E6F0A">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需方(甲方)：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hAnsi="宋体" w:cs="宋体"/>
          <w:sz w:val="24"/>
          <w:szCs w:val="24"/>
          <w:highlight w:val="none"/>
          <w:lang w:eastAsia="zh-CN"/>
        </w:rPr>
        <w:t>供</w:t>
      </w:r>
      <w:r>
        <w:rPr>
          <w:rFonts w:hint="eastAsia" w:ascii="宋体" w:hAnsi="宋体" w:eastAsia="宋体" w:cs="宋体"/>
          <w:sz w:val="24"/>
          <w:szCs w:val="24"/>
          <w:highlight w:val="none"/>
        </w:rPr>
        <w:t xml:space="preserve">方(乙方)：        </w:t>
      </w:r>
    </w:p>
    <w:p w14:paraId="4EE8E9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项目负责人：                  法定代表人：    </w:t>
      </w:r>
    </w:p>
    <w:p w14:paraId="5A23E0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w:t>
      </w:r>
    </w:p>
    <w:p w14:paraId="0D3519D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    话： </w:t>
      </w:r>
    </w:p>
    <w:p w14:paraId="317B7A3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传真：                        传    真： </w:t>
      </w:r>
    </w:p>
    <w:p w14:paraId="1FA1DD4F">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p>
    <w:p w14:paraId="610F3F2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帐号：                        帐    号：   </w:t>
      </w:r>
    </w:p>
    <w:p w14:paraId="416625AC">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邮政编码：                    邮政编码： </w:t>
      </w:r>
    </w:p>
    <w:p w14:paraId="6BB3F4C4">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签约时间：20**年  月  日      签约时间：20**年  月  日</w:t>
      </w:r>
    </w:p>
    <w:p w14:paraId="1ECA0E6B">
      <w:pPr>
        <w:spacing w:line="360" w:lineRule="auto"/>
        <w:ind w:firstLine="480" w:firstLineChars="200"/>
        <w:rPr>
          <w:rFonts w:hint="eastAsia" w:ascii="宋体" w:hAnsi="宋体" w:eastAsia="宋体" w:cs="宋体"/>
          <w:lang w:val="en-US" w:eastAsia="zh-Hans"/>
        </w:rPr>
      </w:pPr>
      <w:r>
        <w:rPr>
          <w:rFonts w:hint="eastAsia" w:ascii="宋体" w:hAnsi="宋体" w:eastAsia="宋体" w:cs="宋体"/>
          <w:sz w:val="24"/>
          <w:szCs w:val="24"/>
          <w:highlight w:val="none"/>
        </w:rPr>
        <w:t>签约地点：</w:t>
      </w:r>
    </w:p>
    <w:p w14:paraId="611FE2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44010"/>
    <w:rsid w:val="08065CC0"/>
    <w:rsid w:val="0B424E2E"/>
    <w:rsid w:val="15767E65"/>
    <w:rsid w:val="411A63EF"/>
    <w:rsid w:val="6D0F1C2A"/>
    <w:rsid w:val="6F255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1222</Words>
  <Characters>1234</Characters>
  <Lines>0</Lines>
  <Paragraphs>0</Paragraphs>
  <TotalTime>2</TotalTime>
  <ScaleCrop>false</ScaleCrop>
  <LinksUpToDate>false</LinksUpToDate>
  <CharactersWithSpaces>1512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2025-10-22T08:16:00Z</dcterms:created>
  <dc:creator>lenovo</dc:creator>
  <cp:lastModifiedBy>朱小克</cp:lastModifiedBy>
  <dcterms:modified xsi:type="dcterms:W3CDTF">2025-10-24T08:28:18Z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eyJoZGlkIjoiNTQ2NzA3NDE1M2U1MjMwMDlmOGYwZGVmNjY2ZDE3ZmUiLCJ1c2VySWQiOiIyNTk4MjUxOTAifQ==</vt:lpwstr>
  </property>
  <property fmtid="{D5CDD505-2E9C-101B-9397-08002B2CF9AE}" pid="4" name="ICV">
    <vt:lpwstr>8B75506046BD45BA94085A930AECEF0B_12</vt:lpwstr>
  </property>
</Properties>
</file>