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版本号：SXWZ2025ZB-SYDX---25920251023001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石油工业认知园升级改造项目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SXWZ2025ZB-SYDX---259</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石油工业认知园升级改造项目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SXWZ2025ZB-SYDX---259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石油工业认知园升级改造项目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西安石油大学石油工业认知园升级改造项目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采购包1（石油工业认知园升级改造项目）：属于专门面向中小企业采购。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2、法定代表人证明书及法定代表人授权书：非法定代表人参加投标，须提供法定代表人授权委托书及被授权人近半年内任意一个月的社保缴纳证明；法定代表人参加投标时,只须提供法定代表人证明书。</w:t>
      </w:r>
    </w:p>
    <w:p>
      <w:pPr>
        <w:pStyle w:val="null3"/>
      </w:pPr>
      <w:r>
        <w:rPr>
          <w:rFonts w:ascii="仿宋_GB2312" w:hAnsi="仿宋_GB2312" w:cs="仿宋_GB2312" w:eastAsia="仿宋_GB2312"/>
        </w:rPr>
        <w:t>3、社会保障资金缴纳证明：供应商提供本单位2024年10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具有依法缴纳税收的良好记录，提供2024年10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5、财务状况证明：具有良好的商业信誉和健全的财务会计制度，提供2024年度经审计的财务报告或开标前六个月内其基本账户银行出具的资信证明（附开户许可证或基本账户证明）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7、供应商特殊资格要求：供应商具备建筑工程施工总承包叁级及以上资质或建筑装饰装修工程专业承包贰级及以上资质，并提供有效的安全生产许可证</w:t>
      </w:r>
    </w:p>
    <w:p>
      <w:pPr>
        <w:pStyle w:val="null3"/>
      </w:pPr>
      <w:r>
        <w:rPr>
          <w:rFonts w:ascii="仿宋_GB2312" w:hAnsi="仿宋_GB2312" w:cs="仿宋_GB2312" w:eastAsia="仿宋_GB2312"/>
        </w:rPr>
        <w:t>8、项目经理：拟派项目经理具有建筑工程专业二级及以上注册建造师资格及有效的安全生产考核合格证书（B证），且无其他在建项目及不良行为记录（提供承诺函，并提供项目经理在本单位2024年10月至今任意三个月社保缴纳证明）</w:t>
      </w:r>
    </w:p>
    <w:p>
      <w:pPr>
        <w:pStyle w:val="null3"/>
      </w:pPr>
      <w:r>
        <w:rPr>
          <w:rFonts w:ascii="仿宋_GB2312" w:hAnsi="仿宋_GB2312" w:cs="仿宋_GB2312" w:eastAsia="仿宋_GB2312"/>
        </w:rPr>
        <w:t>9、陕西省建筑市场监管与诚信信息一体化平台备案：外省企业须在“陕西省建筑市场监管与诚信信息一体化平台”备案</w:t>
      </w:r>
    </w:p>
    <w:p>
      <w:pPr>
        <w:pStyle w:val="null3"/>
      </w:pPr>
      <w:r>
        <w:rPr>
          <w:rFonts w:ascii="仿宋_GB2312" w:hAnsi="仿宋_GB2312" w:cs="仿宋_GB2312" w:eastAsia="仿宋_GB2312"/>
        </w:rPr>
        <w:t>10、中小企业：本项目专门面向中小企业采购，供应商应提供中小企业声明函</w:t>
      </w:r>
    </w:p>
    <w:p>
      <w:pPr>
        <w:pStyle w:val="null3"/>
      </w:pPr>
      <w:r>
        <w:rPr>
          <w:rFonts w:ascii="仿宋_GB2312" w:hAnsi="仿宋_GB2312" w:cs="仿宋_GB2312" w:eastAsia="仿宋_GB2312"/>
        </w:rPr>
        <w:t>11、非联合体投标：本项目不接受联合体参与。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采购包1：1,415,703.17元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代理服务费收费标准：以本采购项目中标价为基数，参照国家计委关于印发《招标代理服务收费管理暂行办法》的通知（计价格[2002]1980号）和发改办价格[2003]857号规定下浮10%收取。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踏勘时间：2025-10-31 10:00:00</w:t>
            </w:r>
          </w:p>
          <w:p>
            <w:pPr>
              <w:pStyle w:val="null3"/>
              <w:ind w:firstLine="975"/>
            </w:pPr>
            <w:r>
              <w:rPr>
                <w:rFonts w:ascii="仿宋_GB2312" w:hAnsi="仿宋_GB2312" w:cs="仿宋_GB2312" w:eastAsia="仿宋_GB2312"/>
              </w:rPr>
              <w:t>踏勘地点：西安石油大学鄠邑校区逸夫工程训练中心1层</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联系电话号码：029-81469083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地址：西安市雁塔区唐延路35号旺座现代城C座2502室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1,415,703.17</w:t>
      </w:r>
    </w:p>
    <w:p>
      <w:pPr>
        <w:pStyle w:val="null3"/>
      </w:pPr>
      <w:r>
        <w:rPr>
          <w:rFonts w:ascii="仿宋_GB2312" w:hAnsi="仿宋_GB2312" w:cs="仿宋_GB2312" w:eastAsia="仿宋_GB2312"/>
        </w:rPr>
        <w:t>采购包最高限价（元）: 1,415,703.17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石油工业认知园升级改造项目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1,415,703.17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标的名称：石油工业认知园升级改造项目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一、商务条款</w:t>
            </w:r>
          </w:p>
          <w:p>
            <w:pPr>
              <w:pStyle w:val="null3"/>
            </w:pPr>
            <w:r>
              <w:rPr>
                <w:rFonts w:ascii="仿宋_GB2312" w:hAnsi="仿宋_GB2312" w:cs="仿宋_GB2312" w:eastAsia="仿宋_GB2312"/>
              </w:rPr>
              <w:t>1、工期：30日历天</w:t>
            </w:r>
          </w:p>
          <w:p>
            <w:pPr>
              <w:pStyle w:val="null3"/>
            </w:pPr>
            <w:r>
              <w:rPr>
                <w:rFonts w:ascii="仿宋_GB2312" w:hAnsi="仿宋_GB2312" w:cs="仿宋_GB2312" w:eastAsia="仿宋_GB2312"/>
              </w:rPr>
              <w:t>2、质量保修范围：按照建筑行业及国家要求进行保修；</w:t>
            </w:r>
          </w:p>
          <w:p>
            <w:pPr>
              <w:pStyle w:val="null3"/>
            </w:pPr>
            <w:r>
              <w:rPr>
                <w:rFonts w:ascii="仿宋_GB2312" w:hAnsi="仿宋_GB2312" w:cs="仿宋_GB2312" w:eastAsia="仿宋_GB2312"/>
              </w:rPr>
              <w:t>3、保修期：三年</w:t>
            </w:r>
          </w:p>
          <w:p>
            <w:pPr>
              <w:pStyle w:val="null3"/>
            </w:pPr>
            <w:r>
              <w:rPr>
                <w:rFonts w:ascii="仿宋_GB2312" w:hAnsi="仿宋_GB2312" w:cs="仿宋_GB2312" w:eastAsia="仿宋_GB2312"/>
              </w:rPr>
              <w:t>4、质量要求：符合国家相关标准；合格。</w:t>
            </w:r>
          </w:p>
          <w:p>
            <w:pPr>
              <w:pStyle w:val="null3"/>
            </w:pPr>
            <w:r>
              <w:rPr>
                <w:rFonts w:ascii="仿宋_GB2312" w:hAnsi="仿宋_GB2312" w:cs="仿宋_GB2312" w:eastAsia="仿宋_GB2312"/>
              </w:rPr>
              <w:t>5、实施地点：采购人指定地点</w:t>
            </w:r>
          </w:p>
          <w:p>
            <w:pPr>
              <w:pStyle w:val="null3"/>
            </w:pPr>
            <w:r>
              <w:rPr>
                <w:rFonts w:ascii="仿宋_GB2312" w:hAnsi="仿宋_GB2312" w:cs="仿宋_GB2312" w:eastAsia="仿宋_GB2312"/>
              </w:rPr>
              <w:t>6、付款方式：此工程无预付款，工程施工完毕，经甲方验收合格后，10日内支付合同总价款的80%；经工程审计结算审核后10日内，扣除核定总造价1%的水电费，余款一次结清（不计利息）。办理付款时，乙方应提供增值税专用发票。</w:t>
            </w:r>
          </w:p>
          <w:p>
            <w:pPr>
              <w:pStyle w:val="null3"/>
            </w:pPr>
            <w:r>
              <w:rPr>
                <w:rFonts w:ascii="仿宋_GB2312" w:hAnsi="仿宋_GB2312" w:cs="仿宋_GB2312" w:eastAsia="仿宋_GB2312"/>
              </w:rPr>
              <w:t>二、工程概况</w:t>
            </w:r>
          </w:p>
          <w:p>
            <w:pPr>
              <w:pStyle w:val="null3"/>
            </w:pPr>
            <w:r>
              <w:rPr>
                <w:rFonts w:ascii="仿宋_GB2312" w:hAnsi="仿宋_GB2312" w:cs="仿宋_GB2312" w:eastAsia="仿宋_GB2312"/>
              </w:rPr>
              <w:t>拟对鄠邑校区石油工业认知园进行系统性升级改造，适配学校高质量发展需求、强化教学与学科建设辅助功能。园区位于鄠邑校区工程训练中心北侧，总面积2600㎡（含绿植面积），当前虽存有部分行业单位及校友捐赠的装置设备，但因陈列无序、缺乏统筹规划，其教学价值未有效发挥，新设备补充更新后，现有布局已无法满足需求。本次改造涵盖多方面内容，基础建设含土地平整硬化、绿化；特色建设含艺术造型与科普载体打造；设备处理含原设备迁移安装及保护，同时完成现场拆除作业，最终对新旧设备按照新的园区规划进行陈列展示。</w:t>
            </w:r>
          </w:p>
          <w:p>
            <w:pPr>
              <w:pStyle w:val="null3"/>
            </w:pPr>
            <w:r>
              <w:rPr>
                <w:rFonts w:ascii="仿宋_GB2312" w:hAnsi="仿宋_GB2312" w:cs="仿宋_GB2312" w:eastAsia="仿宋_GB2312"/>
              </w:rPr>
              <w:t>三、标准要求</w:t>
            </w:r>
          </w:p>
          <w:p>
            <w:pPr>
              <w:pStyle w:val="null3"/>
            </w:pPr>
            <w:r>
              <w:rPr>
                <w:rFonts w:ascii="仿宋_GB2312" w:hAnsi="仿宋_GB2312" w:cs="仿宋_GB2312" w:eastAsia="仿宋_GB2312"/>
              </w:rPr>
              <w:t>1.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pStyle w:val="null3"/>
            </w:pPr>
            <w:r>
              <w:rPr>
                <w:rFonts w:ascii="仿宋_GB2312" w:hAnsi="仿宋_GB2312" w:cs="仿宋_GB2312" w:eastAsia="仿宋_GB2312"/>
              </w:rPr>
              <w:t>《中华人民共和国建筑法》</w:t>
            </w:r>
          </w:p>
          <w:p>
            <w:pPr>
              <w:pStyle w:val="null3"/>
            </w:pPr>
            <w:r>
              <w:rPr>
                <w:rFonts w:ascii="仿宋_GB2312" w:hAnsi="仿宋_GB2312" w:cs="仿宋_GB2312" w:eastAsia="仿宋_GB2312"/>
              </w:rPr>
              <w:t>《民用建筑设计通则》</w:t>
            </w:r>
          </w:p>
          <w:p>
            <w:pPr>
              <w:pStyle w:val="null3"/>
            </w:pPr>
            <w:r>
              <w:rPr>
                <w:rFonts w:ascii="仿宋_GB2312" w:hAnsi="仿宋_GB2312" w:cs="仿宋_GB2312" w:eastAsia="仿宋_GB2312"/>
              </w:rPr>
              <w:t>《GB 50016-2014 建筑设计防火规范》</w:t>
            </w:r>
          </w:p>
          <w:p>
            <w:pPr>
              <w:pStyle w:val="null3"/>
            </w:pPr>
            <w:r>
              <w:rPr>
                <w:rFonts w:ascii="仿宋_GB2312" w:hAnsi="仿宋_GB2312" w:cs="仿宋_GB2312" w:eastAsia="仿宋_GB2312"/>
              </w:rPr>
              <w:t>《无障碍设计规范》</w:t>
            </w:r>
          </w:p>
          <w:p>
            <w:pPr>
              <w:pStyle w:val="null3"/>
            </w:pPr>
            <w:r>
              <w:rPr>
                <w:rFonts w:ascii="仿宋_GB2312" w:hAnsi="仿宋_GB2312" w:cs="仿宋_GB2312" w:eastAsia="仿宋_GB2312"/>
              </w:rPr>
              <w:t>《工程建设标准强制性条文》（房屋建筑部分2013版）</w:t>
            </w:r>
          </w:p>
          <w:p>
            <w:pPr>
              <w:pStyle w:val="null3"/>
            </w:pPr>
            <w:r>
              <w:rPr>
                <w:rFonts w:ascii="仿宋_GB2312" w:hAnsi="仿宋_GB2312" w:cs="仿宋_GB2312" w:eastAsia="仿宋_GB2312"/>
              </w:rPr>
              <w:t>《公共建筑节能设计标准》</w:t>
            </w:r>
          </w:p>
          <w:p>
            <w:pPr>
              <w:pStyle w:val="null3"/>
            </w:pPr>
            <w:r>
              <w:rPr>
                <w:rFonts w:ascii="仿宋_GB2312" w:hAnsi="仿宋_GB2312" w:cs="仿宋_GB2312" w:eastAsia="仿宋_GB2312"/>
              </w:rPr>
              <w:t>《建设工程设计文件编制深度规定》（2013年版）</w:t>
            </w:r>
          </w:p>
          <w:p>
            <w:pPr>
              <w:pStyle w:val="null3"/>
            </w:pPr>
            <w:r>
              <w:rPr>
                <w:rFonts w:ascii="仿宋_GB2312" w:hAnsi="仿宋_GB2312" w:cs="仿宋_GB2312" w:eastAsia="仿宋_GB2312"/>
              </w:rPr>
              <w:t>《建筑结构可靠性设计统一标准》GB50068-2018</w:t>
            </w:r>
          </w:p>
          <w:p>
            <w:pPr>
              <w:pStyle w:val="null3"/>
            </w:pPr>
            <w:r>
              <w:rPr>
                <w:rFonts w:ascii="仿宋_GB2312" w:hAnsi="仿宋_GB2312" w:cs="仿宋_GB2312" w:eastAsia="仿宋_GB2312"/>
              </w:rPr>
              <w:t>《建筑工程抗震设防分类标准》GB50223-2010</w:t>
            </w:r>
          </w:p>
          <w:p>
            <w:pPr>
              <w:pStyle w:val="null3"/>
            </w:pPr>
            <w:r>
              <w:rPr>
                <w:rFonts w:ascii="仿宋_GB2312" w:hAnsi="仿宋_GB2312" w:cs="仿宋_GB2312" w:eastAsia="仿宋_GB2312"/>
              </w:rPr>
              <w:t>《混凝土结构设计规范》GB50010-2010(2015年版)</w:t>
            </w:r>
          </w:p>
          <w:p>
            <w:pPr>
              <w:pStyle w:val="null3"/>
            </w:pPr>
            <w:r>
              <w:rPr>
                <w:rFonts w:ascii="仿宋_GB2312" w:hAnsi="仿宋_GB2312" w:cs="仿宋_GB2312" w:eastAsia="仿宋_GB2312"/>
              </w:rPr>
              <w:t>《建筑抗震设计规范》GB50011-2010(2016年版)</w:t>
            </w:r>
          </w:p>
          <w:p>
            <w:pPr>
              <w:pStyle w:val="null3"/>
            </w:pPr>
            <w:r>
              <w:rPr>
                <w:rFonts w:ascii="仿宋_GB2312" w:hAnsi="仿宋_GB2312" w:cs="仿宋_GB2312" w:eastAsia="仿宋_GB2312"/>
              </w:rPr>
              <w:t>《建筑结构制图标准》GB/T50105-2010</w:t>
            </w:r>
          </w:p>
          <w:p>
            <w:pPr>
              <w:pStyle w:val="null3"/>
            </w:pPr>
            <w:r>
              <w:rPr>
                <w:rFonts w:ascii="仿宋_GB2312" w:hAnsi="仿宋_GB2312" w:cs="仿宋_GB2312" w:eastAsia="仿宋_GB2312"/>
              </w:rPr>
              <w:t>《建筑给排水设计规范》GB 50015-2003 （2009年版)</w:t>
            </w:r>
          </w:p>
          <w:p>
            <w:pPr>
              <w:pStyle w:val="null3"/>
            </w:pPr>
            <w:r>
              <w:rPr>
                <w:rFonts w:ascii="仿宋_GB2312" w:hAnsi="仿宋_GB2312" w:cs="仿宋_GB2312" w:eastAsia="仿宋_GB2312"/>
              </w:rPr>
              <w:t>《建筑设计防火规范》GB 50016-2014）（2018年版）</w:t>
            </w:r>
          </w:p>
          <w:p>
            <w:pPr>
              <w:pStyle w:val="null3"/>
            </w:pPr>
            <w:r>
              <w:rPr>
                <w:rFonts w:ascii="仿宋_GB2312" w:hAnsi="仿宋_GB2312" w:cs="仿宋_GB2312" w:eastAsia="仿宋_GB2312"/>
              </w:rPr>
              <w:t>《消防给水及消火栓系统技术规范》GB 50974-2014</w:t>
            </w:r>
          </w:p>
          <w:p>
            <w:pPr>
              <w:pStyle w:val="null3"/>
            </w:pPr>
            <w:r>
              <w:rPr>
                <w:rFonts w:ascii="仿宋_GB2312" w:hAnsi="仿宋_GB2312" w:cs="仿宋_GB2312" w:eastAsia="仿宋_GB2312"/>
              </w:rPr>
              <w:t>《建筑灭火器配置设计规范》GB 50140-2005</w:t>
            </w:r>
          </w:p>
          <w:p>
            <w:pPr>
              <w:pStyle w:val="null3"/>
            </w:pPr>
            <w:r>
              <w:rPr>
                <w:rFonts w:ascii="仿宋_GB2312" w:hAnsi="仿宋_GB2312" w:cs="仿宋_GB2312" w:eastAsia="仿宋_GB2312"/>
              </w:rPr>
              <w:t>《民用建筑节水设计标准》GB 50555-2010</w:t>
            </w:r>
          </w:p>
          <w:p>
            <w:pPr>
              <w:pStyle w:val="null3"/>
            </w:pPr>
            <w:r>
              <w:rPr>
                <w:rFonts w:ascii="仿宋_GB2312" w:hAnsi="仿宋_GB2312" w:cs="仿宋_GB2312" w:eastAsia="仿宋_GB2312"/>
              </w:rPr>
              <w:t>《自动喷水灭火系统设计规范》GB 50084-2017</w:t>
            </w:r>
          </w:p>
          <w:p>
            <w:pPr>
              <w:pStyle w:val="null3"/>
            </w:pPr>
            <w:r>
              <w:rPr>
                <w:rFonts w:ascii="仿宋_GB2312" w:hAnsi="仿宋_GB2312" w:cs="仿宋_GB2312" w:eastAsia="仿宋_GB2312"/>
              </w:rPr>
              <w:t xml:space="preserve">《民用建筑电气设计规范》JGJ16-2008  </w:t>
            </w:r>
          </w:p>
          <w:p>
            <w:pPr>
              <w:pStyle w:val="null3"/>
            </w:pPr>
            <w:r>
              <w:rPr>
                <w:rFonts w:ascii="仿宋_GB2312" w:hAnsi="仿宋_GB2312" w:cs="仿宋_GB2312" w:eastAsia="仿宋_GB2312"/>
              </w:rPr>
              <w:t>《建筑工程设计文件编制深度规定》（2008版）</w:t>
            </w:r>
          </w:p>
          <w:p>
            <w:pPr>
              <w:pStyle w:val="null3"/>
            </w:pPr>
            <w:r>
              <w:rPr>
                <w:rFonts w:ascii="仿宋_GB2312" w:hAnsi="仿宋_GB2312" w:cs="仿宋_GB2312" w:eastAsia="仿宋_GB2312"/>
              </w:rPr>
              <w:t>《建筑防火设计规范》GB50016-2014(2018版)</w:t>
            </w:r>
          </w:p>
          <w:p>
            <w:pPr>
              <w:pStyle w:val="null3"/>
            </w:pPr>
            <w:r>
              <w:rPr>
                <w:rFonts w:ascii="仿宋_GB2312" w:hAnsi="仿宋_GB2312" w:cs="仿宋_GB2312" w:eastAsia="仿宋_GB2312"/>
              </w:rPr>
              <w:t>《消防应急照明和疏散指示系统技术标准》GB 51309-2018</w:t>
            </w:r>
          </w:p>
          <w:p>
            <w:pPr>
              <w:pStyle w:val="null3"/>
            </w:pPr>
            <w:r>
              <w:rPr>
                <w:rFonts w:ascii="仿宋_GB2312" w:hAnsi="仿宋_GB2312" w:cs="仿宋_GB2312" w:eastAsia="仿宋_GB2312"/>
              </w:rPr>
              <w:t>《建筑照明设计标准》GB50034-2013</w:t>
            </w:r>
          </w:p>
          <w:p>
            <w:pPr>
              <w:pStyle w:val="null3"/>
            </w:pPr>
            <w:r>
              <w:rPr>
                <w:rFonts w:ascii="仿宋_GB2312" w:hAnsi="仿宋_GB2312" w:cs="仿宋_GB2312" w:eastAsia="仿宋_GB2312"/>
              </w:rPr>
              <w:t>《建筑物防雷设计规范》GB50057-2010</w:t>
            </w:r>
          </w:p>
          <w:p>
            <w:pPr>
              <w:pStyle w:val="null3"/>
            </w:pPr>
            <w:r>
              <w:rPr>
                <w:rFonts w:ascii="仿宋_GB2312" w:hAnsi="仿宋_GB2312" w:cs="仿宋_GB2312" w:eastAsia="仿宋_GB2312"/>
              </w:rPr>
              <w:t>《低压配电设计规范》GB50054-2011</w:t>
            </w:r>
          </w:p>
          <w:p>
            <w:pPr>
              <w:pStyle w:val="null3"/>
            </w:pPr>
            <w:r>
              <w:rPr>
                <w:rFonts w:ascii="仿宋_GB2312" w:hAnsi="仿宋_GB2312" w:cs="仿宋_GB2312" w:eastAsia="仿宋_GB2312"/>
              </w:rPr>
              <w:t>《供配电设计规范》GB50052-2009</w:t>
            </w:r>
          </w:p>
          <w:p>
            <w:pPr>
              <w:pStyle w:val="null3"/>
            </w:pPr>
            <w:r>
              <w:rPr>
                <w:rFonts w:ascii="仿宋_GB2312" w:hAnsi="仿宋_GB2312" w:cs="仿宋_GB2312" w:eastAsia="仿宋_GB2312"/>
              </w:rPr>
              <w:t>《综合布线系统工程设计规范》GB50311-2007</w:t>
            </w:r>
          </w:p>
          <w:p>
            <w:pPr>
              <w:pStyle w:val="null3"/>
            </w:pPr>
            <w:r>
              <w:rPr>
                <w:rFonts w:ascii="仿宋_GB2312" w:hAnsi="仿宋_GB2312" w:cs="仿宋_GB2312" w:eastAsia="仿宋_GB2312"/>
              </w:rPr>
              <w:t>《安全防范工程技术规范》 GB50348-2004</w:t>
            </w:r>
          </w:p>
          <w:p>
            <w:pPr>
              <w:pStyle w:val="null3"/>
            </w:pPr>
            <w:r>
              <w:rPr>
                <w:rFonts w:ascii="仿宋_GB2312" w:hAnsi="仿宋_GB2312" w:cs="仿宋_GB2312" w:eastAsia="仿宋_GB2312"/>
              </w:rPr>
              <w:t>《建筑机电工程抗震设计规范》GB50981-2014</w:t>
            </w:r>
          </w:p>
          <w:p>
            <w:pPr>
              <w:pStyle w:val="null3"/>
            </w:pPr>
            <w:r>
              <w:rPr>
                <w:rFonts w:ascii="仿宋_GB2312" w:hAnsi="仿宋_GB2312" w:cs="仿宋_GB2312" w:eastAsia="仿宋_GB2312"/>
              </w:rPr>
              <w:t>《智能建筑设计标准》GB50314-2015</w:t>
            </w:r>
          </w:p>
          <w:p>
            <w:pPr>
              <w:pStyle w:val="null3"/>
            </w:pPr>
            <w:r>
              <w:rPr>
                <w:rFonts w:ascii="仿宋_GB2312" w:hAnsi="仿宋_GB2312" w:cs="仿宋_GB2312" w:eastAsia="仿宋_GB2312"/>
              </w:rPr>
              <w:t>《火灾自动报警系统设计规范》GB 50116-2013</w:t>
            </w:r>
          </w:p>
          <w:p>
            <w:pPr>
              <w:pStyle w:val="null3"/>
            </w:pPr>
            <w:r>
              <w:rPr>
                <w:rFonts w:ascii="仿宋_GB2312" w:hAnsi="仿宋_GB2312" w:cs="仿宋_GB2312" w:eastAsia="仿宋_GB2312"/>
              </w:rPr>
              <w:t xml:space="preserve">2.根据工程设计要求，该项工程项目的施工、材料、设备和安装等除达到以上标准外，还应满足设计要求和招标人在招标文件中的有关要求。  </w:t>
            </w:r>
          </w:p>
          <w:p>
            <w:pPr>
              <w:pStyle w:val="null3"/>
            </w:pPr>
            <w:r>
              <w:rPr>
                <w:rFonts w:ascii="仿宋_GB2312" w:hAnsi="仿宋_GB2312" w:cs="仿宋_GB2312" w:eastAsia="仿宋_GB2312"/>
              </w:rPr>
              <w:t>施工要求：</w:t>
            </w:r>
          </w:p>
          <w:p>
            <w:pPr>
              <w:pStyle w:val="null3"/>
            </w:pPr>
            <w:r>
              <w:rPr>
                <w:rFonts w:ascii="仿宋_GB2312" w:hAnsi="仿宋_GB2312" w:cs="仿宋_GB2312" w:eastAsia="仿宋_GB2312"/>
              </w:rPr>
              <w:t>针对本项目施工方法先进、合理、满足工程施工要求。施工方案完整，有针对性，方案符合现行施工规范。</w:t>
            </w:r>
          </w:p>
          <w:p>
            <w:pPr>
              <w:pStyle w:val="null3"/>
            </w:pPr>
            <w:r>
              <w:rPr>
                <w:rFonts w:ascii="仿宋_GB2312" w:hAnsi="仿宋_GB2312" w:cs="仿宋_GB2312" w:eastAsia="仿宋_GB2312"/>
              </w:rPr>
              <w:t>有详细的施工计划，保证工期措施及方法，施工进度控制措施全面、计划横道图完善、合理、工程节点完整、详细。</w:t>
            </w:r>
          </w:p>
          <w:p>
            <w:pPr>
              <w:pStyle w:val="null3"/>
            </w:pPr>
            <w:r>
              <w:rPr>
                <w:rFonts w:ascii="仿宋_GB2312" w:hAnsi="仿宋_GB2312" w:cs="仿宋_GB2312" w:eastAsia="仿宋_GB2312"/>
              </w:rPr>
              <w:t>施工质量、现场安全、技术管理措施、质量控制保证等措施全面、有针对性、具可实施性。</w:t>
            </w:r>
          </w:p>
          <w:p>
            <w:pPr>
              <w:pStyle w:val="null3"/>
            </w:pPr>
            <w:r>
              <w:rPr>
                <w:rFonts w:ascii="仿宋_GB2312" w:hAnsi="仿宋_GB2312" w:cs="仿宋_GB2312" w:eastAsia="仿宋_GB2312"/>
              </w:rPr>
              <w:t>施工现场安全、消防等管理体系及措施，合理、全面、有效。施工现场整洁、文明生产、环保等措施。</w:t>
            </w:r>
          </w:p>
          <w:p>
            <w:pPr>
              <w:pStyle w:val="null3"/>
            </w:pPr>
            <w:r>
              <w:rPr>
                <w:rFonts w:ascii="仿宋_GB2312" w:hAnsi="仿宋_GB2312" w:cs="仿宋_GB2312" w:eastAsia="仿宋_GB2312"/>
              </w:rPr>
              <w:t>项目管理人员配备能够满足工程管理需要，专业配备齐全、搭配合理。突发事件应急预案完整、全面，可行性强。</w:t>
            </w:r>
          </w:p>
          <w:p>
            <w:pPr>
              <w:pStyle w:val="null3"/>
            </w:pPr>
            <w:r>
              <w:rPr>
                <w:rFonts w:ascii="仿宋_GB2312" w:hAnsi="仿宋_GB2312" w:cs="仿宋_GB2312" w:eastAsia="仿宋_GB2312"/>
              </w:rPr>
              <w:t>售后服务内容、售后服务期限、售后服务响应时间、解决问题时间细致详尽。本项目需严格执行国家、地方及行业和当地现行建筑、消防规范及技术管理规定进行施工：</w:t>
            </w:r>
          </w:p>
          <w:p>
            <w:pPr>
              <w:pStyle w:val="null3"/>
            </w:pPr>
            <w:r>
              <w:rPr>
                <w:rFonts w:ascii="仿宋_GB2312" w:hAnsi="仿宋_GB2312" w:cs="仿宋_GB2312" w:eastAsia="仿宋_GB2312"/>
              </w:rPr>
              <w:t>《建筑装饰装修工程质量验收规范》 GB 50210-2018</w:t>
            </w:r>
          </w:p>
          <w:p>
            <w:pPr>
              <w:pStyle w:val="null3"/>
            </w:pPr>
            <w:r>
              <w:rPr>
                <w:rFonts w:ascii="仿宋_GB2312" w:hAnsi="仿宋_GB2312" w:cs="仿宋_GB2312" w:eastAsia="仿宋_GB2312"/>
              </w:rPr>
              <w:t>《建筑内部装修设计防火规范》 GB 50222-2017</w:t>
            </w:r>
          </w:p>
          <w:p>
            <w:pPr>
              <w:pStyle w:val="null3"/>
            </w:pPr>
            <w:r>
              <w:rPr>
                <w:rFonts w:ascii="仿宋_GB2312" w:hAnsi="仿宋_GB2312" w:cs="仿宋_GB2312" w:eastAsia="仿宋_GB2312"/>
              </w:rPr>
              <w:t>《建筑工程施工质量验收统一标准》 GB 50300-2016</w:t>
            </w:r>
          </w:p>
          <w:p>
            <w:pPr>
              <w:pStyle w:val="null3"/>
            </w:pPr>
            <w:r>
              <w:rPr>
                <w:rFonts w:ascii="仿宋_GB2312" w:hAnsi="仿宋_GB2312" w:cs="仿宋_GB2312" w:eastAsia="仿宋_GB2312"/>
              </w:rPr>
              <w:t>《民用建筑工程室内环境污染控制规范》 GB 50325-2020</w:t>
            </w:r>
          </w:p>
          <w:p>
            <w:pPr>
              <w:pStyle w:val="null3"/>
            </w:pPr>
            <w:r>
              <w:rPr>
                <w:rFonts w:ascii="仿宋_GB2312" w:hAnsi="仿宋_GB2312" w:cs="仿宋_GB2312" w:eastAsia="仿宋_GB2312"/>
              </w:rPr>
              <w:t>《建设工程项目管理规范》 GB/T 50326-2017</w:t>
            </w:r>
          </w:p>
          <w:p>
            <w:pPr>
              <w:pStyle w:val="null3"/>
            </w:pPr>
            <w:r>
              <w:rPr>
                <w:rFonts w:ascii="仿宋_GB2312" w:hAnsi="仿宋_GB2312" w:cs="仿宋_GB2312" w:eastAsia="仿宋_GB2312"/>
              </w:rPr>
              <w:t>《工程建设施工企业质量管理规范》 GB/T 50430-2017</w:t>
            </w:r>
          </w:p>
          <w:p>
            <w:pPr>
              <w:pStyle w:val="null3"/>
            </w:pPr>
            <w:r>
              <w:rPr>
                <w:rFonts w:ascii="仿宋_GB2312" w:hAnsi="仿宋_GB2312" w:cs="仿宋_GB2312" w:eastAsia="仿宋_GB2312"/>
              </w:rPr>
              <w:t>《建筑设计防火规范》 GB 50016-2014</w:t>
            </w:r>
          </w:p>
          <w:p>
            <w:pPr>
              <w:pStyle w:val="null3"/>
            </w:pPr>
            <w:r>
              <w:rPr>
                <w:rFonts w:ascii="仿宋_GB2312" w:hAnsi="仿宋_GB2312" w:cs="仿宋_GB2312" w:eastAsia="仿宋_GB2312"/>
              </w:rPr>
              <w:t>《建筑内部装修设计防火规范》（GB50222-2017）；</w:t>
            </w:r>
          </w:p>
          <w:p>
            <w:pPr>
              <w:pStyle w:val="null3"/>
            </w:pPr>
            <w:r>
              <w:rPr>
                <w:rFonts w:ascii="仿宋_GB2312" w:hAnsi="仿宋_GB2312" w:cs="仿宋_GB2312" w:eastAsia="仿宋_GB2312"/>
              </w:rPr>
              <w:t>本项目实施过程中执行国家、地方及行业现行相关的强制性标准和技术规范、规程。上述规范不足部分执行国家、地方及行业现行相关的强制性标准和技术规范、规程，如有新规范、新标准，按新规范、新标准执行。</w:t>
            </w:r>
          </w:p>
          <w:p>
            <w:pPr>
              <w:pStyle w:val="null3"/>
            </w:pPr>
            <w:r>
              <w:rPr>
                <w:rFonts w:ascii="仿宋_GB2312" w:hAnsi="仿宋_GB2312" w:cs="仿宋_GB2312" w:eastAsia="仿宋_GB2312"/>
              </w:rPr>
              <w:t>四、以下内容为对本工程的最基本要求，包括但不限于：</w:t>
            </w:r>
          </w:p>
          <w:p>
            <w:pPr>
              <w:pStyle w:val="null3"/>
            </w:pPr>
            <w:r>
              <w:rPr>
                <w:rFonts w:ascii="仿宋_GB2312" w:hAnsi="仿宋_GB2312" w:cs="仿宋_GB2312" w:eastAsia="仿宋_GB2312"/>
              </w:rPr>
              <w:t>1.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pPr>
              <w:pStyle w:val="null3"/>
            </w:pPr>
            <w:r>
              <w:rPr>
                <w:rFonts w:ascii="仿宋_GB2312" w:hAnsi="仿宋_GB2312" w:cs="仿宋_GB2312" w:eastAsia="仿宋_GB2312"/>
              </w:rPr>
              <w:t>2.施工单位应根据工程特点和周边各种管线管网、相邻建筑物以及绿化等其他设施等编制工程安全防护措施方案。该方案经施工单位技术负责人签字批准送建设单位审核后方可施工。</w:t>
            </w:r>
          </w:p>
          <w:p>
            <w:pPr>
              <w:pStyle w:val="null3"/>
            </w:pPr>
            <w:r>
              <w:rPr>
                <w:rFonts w:ascii="仿宋_GB2312" w:hAnsi="仿宋_GB2312" w:cs="仿宋_GB2312" w:eastAsia="仿宋_GB2312"/>
              </w:rPr>
              <w:t>3.施工单位在施工现场应建立项目部，并按规定配备专职安全员。现场专职安全员必须持有安全生产考核合格证。</w:t>
            </w:r>
          </w:p>
          <w:p>
            <w:pPr>
              <w:pStyle w:val="null3"/>
            </w:pPr>
            <w:r>
              <w:rPr>
                <w:rFonts w:ascii="仿宋_GB2312" w:hAnsi="仿宋_GB2312" w:cs="仿宋_GB2312" w:eastAsia="仿宋_GB2312"/>
              </w:rPr>
              <w:t>4.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pPr>
            <w:r>
              <w:rPr>
                <w:rFonts w:ascii="仿宋_GB2312" w:hAnsi="仿宋_GB2312" w:cs="仿宋_GB2312" w:eastAsia="仿宋_GB2312"/>
              </w:rPr>
              <w:t>5.拆除时不得野蛮施工、不得对附近建筑物、路灯、规划外的树木等造成损害。</w:t>
            </w:r>
          </w:p>
          <w:p>
            <w:pPr>
              <w:pStyle w:val="null3"/>
            </w:pPr>
            <w:r>
              <w:rPr>
                <w:rFonts w:ascii="仿宋_GB2312" w:hAnsi="仿宋_GB2312" w:cs="仿宋_GB2312" w:eastAsia="仿宋_GB2312"/>
              </w:rPr>
              <w:t>6.施工单位对工程的周边环境和施工区域内的环境卫生负责。</w:t>
            </w:r>
          </w:p>
          <w:p>
            <w:pPr>
              <w:pStyle w:val="null3"/>
            </w:pPr>
            <w:r>
              <w:rPr>
                <w:rFonts w:ascii="仿宋_GB2312" w:hAnsi="仿宋_GB2312" w:cs="仿宋_GB2312" w:eastAsia="仿宋_GB2312"/>
              </w:rPr>
              <w:t>五、项目管理要求</w:t>
            </w:r>
          </w:p>
          <w:p>
            <w:pPr>
              <w:pStyle w:val="null3"/>
            </w:pPr>
            <w:r>
              <w:rPr>
                <w:rFonts w:ascii="仿宋_GB2312" w:hAnsi="仿宋_GB2312" w:cs="仿宋_GB2312" w:eastAsia="仿宋_GB2312"/>
              </w:rPr>
              <w:t>1.本项目不得分包、转包。</w:t>
            </w:r>
          </w:p>
          <w:p>
            <w:pPr>
              <w:pStyle w:val="null3"/>
            </w:pPr>
            <w:r>
              <w:rPr>
                <w:rFonts w:ascii="仿宋_GB2312" w:hAnsi="仿宋_GB2312" w:cs="仿宋_GB2312" w:eastAsia="仿宋_GB2312"/>
              </w:rPr>
              <w:t>2.供应商在竞争性磋商响应文件中0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w:t>
            </w:r>
          </w:p>
          <w:p>
            <w:pPr>
              <w:pStyle w:val="null3"/>
            </w:pPr>
            <w:r>
              <w:rPr>
                <w:rFonts w:ascii="仿宋_GB2312" w:hAnsi="仿宋_GB2312" w:cs="仿宋_GB2312" w:eastAsia="仿宋_GB2312"/>
              </w:rPr>
              <w:t>3.成交供应商须无条件接受甲方代表的现场检查和管理。</w:t>
            </w:r>
          </w:p>
          <w:p>
            <w:pPr>
              <w:pStyle w:val="null3"/>
            </w:pPr>
            <w:r>
              <w:rPr>
                <w:rFonts w:ascii="仿宋_GB2312" w:hAnsi="仿宋_GB2312" w:cs="仿宋_GB2312" w:eastAsia="仿宋_GB2312"/>
              </w:rPr>
              <w:t>4.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w:t>
            </w:r>
          </w:p>
          <w:p>
            <w:pPr>
              <w:pStyle w:val="null3"/>
            </w:pPr>
            <w:r>
              <w:rPr>
                <w:rFonts w:ascii="仿宋_GB2312" w:hAnsi="仿宋_GB2312" w:cs="仿宋_GB2312" w:eastAsia="仿宋_GB2312"/>
              </w:rPr>
              <w:t>5.施工的建筑垃圾应清运至有关部门指定的地点，做到工完场清，不留死角。</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1.需执行的国家相关标准、行业标准、地方标准或者其他标准、规范：《GB/T3328-1997》国家标准； 2.采购标的的验收标准：按照技术参数要求和国家标准规范进行验收。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供应商需要在线提交所有通过电子化交易平台实施的政府采购项目的投标文件，同时，线下提交投标文件正本壹份、副本贰份。若电子投标文件与纸质投标文件不一致的，以线上提交的电子投标文件为准。 线下提交投标文件时间：同线上递交截止时间（北京时间）线下提交投标文件地点：西安市雁塔区唐延路35号旺座现代城C座2502室；联系电话：029-88319689转8004；邮箱：sxwzzb123@163.com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法定代表人证明书及法定代表人授权书</w:t>
            </w:r>
          </w:p>
        </w:tc>
        <w:tc>
          <w:tcPr>
            <w:tcW w:type="dxa" w:w="3322"/>
          </w:tcPr>
          <w:p>
            <w:pPr>
              <w:pStyle w:val="null3"/>
            </w:pPr>
            <w:r>
              <w:rPr>
                <w:rFonts w:ascii="仿宋_GB2312" w:hAnsi="仿宋_GB2312" w:cs="仿宋_GB2312" w:eastAsia="仿宋_GB2312"/>
              </w:rPr>
              <w:t>非法定代表人参加投标，须提供法定代表人授权委托书及被授权人近半年内任意一个月的社保缴纳证明；法定代表人参加投标时,只须提供法定代表人证明书。</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10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具有依法缴纳税收的良好记录，提供2024年10月至今已缴纳的至少一个月的纳税证明或完税证明（至少包含增值税或企业所得税）；依法免税的单位应提供相关证明材料；（以税款所属日期为准）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具有良好的商业信誉和健全的财务会计制度，提供2024年度经审计的财务报告或开标前六个月内其基本账户银行出具的资信证明（附开户许可证或基本账户证明）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供应商具备建筑工程施工总承包叁级及以上资质或建筑装饰装修工程专业承包贰级及以上资质，并提供有效的安全生产许可证</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建筑工程专业二级及以上注册建造师资格及有效的安全生产考核合格证书（B证），且无其他在建项目及不良行为记录（提供承诺函，并提供项目经理在本单位2024年10月至今任意三个月社保缴纳证明）</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陕西省建筑市场监管与诚信信息一体化平台备案</w:t>
            </w:r>
          </w:p>
        </w:tc>
        <w:tc>
          <w:tcPr>
            <w:tcW w:type="dxa" w:w="3322"/>
          </w:tcPr>
          <w:p>
            <w:pPr>
              <w:pStyle w:val="null3"/>
            </w:pPr>
            <w:r>
              <w:rPr>
                <w:rFonts w:ascii="仿宋_GB2312" w:hAnsi="仿宋_GB2312" w:cs="仿宋_GB2312" w:eastAsia="仿宋_GB2312"/>
              </w:rPr>
              <w:t>外省企业须在“陕西省建筑市场监管与诚信信息一体化平台”备案</w:t>
            </w:r>
          </w:p>
        </w:tc>
        <w:tc>
          <w:tcPr>
            <w:tcW w:type="dxa" w:w="1661"/>
          </w:tcPr>
          <w:p>
            <w:pPr>
              <w:pStyle w:val="null3"/>
            </w:pPr>
            <w:r>
              <w:rPr>
                <w:rFonts w:ascii="仿宋_GB2312" w:hAnsi="仿宋_GB2312" w:cs="仿宋_GB2312" w:eastAsia="仿宋_GB2312"/>
              </w:rPr>
              <w:t>供应商资质要求</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本项目专门面向中小企业采购，供应商应提供中小企业声明函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供应商资质要求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营业执照、资质证书</w:t>
            </w:r>
          </w:p>
        </w:tc>
        <w:tc>
          <w:tcPr>
            <w:tcW w:type="dxa" w:w="3322"/>
          </w:tcPr>
          <w:p>
            <w:pPr>
              <w:pStyle w:val="null3"/>
            </w:pPr>
            <w:r>
              <w:rPr>
                <w:rFonts w:ascii="仿宋_GB2312" w:hAnsi="仿宋_GB2312" w:cs="仿宋_GB2312" w:eastAsia="仿宋_GB2312"/>
              </w:rPr>
              <w:t>供应商名称是否与营业执照、资质证书一致</w:t>
            </w:r>
          </w:p>
        </w:tc>
        <w:tc>
          <w:tcPr>
            <w:tcW w:type="dxa" w:w="1661"/>
          </w:tcPr>
          <w:p>
            <w:pPr>
              <w:pStyle w:val="null3"/>
            </w:pPr>
            <w:r>
              <w:rPr>
                <w:rFonts w:ascii="仿宋_GB2312" w:hAnsi="仿宋_GB2312" w:cs="仿宋_GB2312" w:eastAsia="仿宋_GB2312"/>
              </w:rPr>
              <w:t>响应文件封面 供应商资质要求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工程量清单报价 磋商一览表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磋商保证金 合理化建议 中小企业声明函 供应商认为有必要说明的其他问题 商务和技术响应偏离表 项目团队 安全、文明、环保施工措施 磋商一览表 售后服务措施及保修承诺 响应文件封面 施工组织方案 机械设备及劳动力投入计划 残疾人福利性单位声明函 报价函 标的清单 供应商类似项目业绩一览表 供应商承诺书 供应商资质要求 响应函 工程量清单报价 施工进度计划表及违约责任承诺 监狱企业的证明文件 施工质量保证措施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缴纳保证金</w:t>
            </w:r>
          </w:p>
        </w:tc>
        <w:tc>
          <w:tcPr>
            <w:tcW w:type="dxa" w:w="3322"/>
          </w:tcPr>
          <w:p>
            <w:pPr>
              <w:pStyle w:val="null3"/>
            </w:pPr>
            <w:r>
              <w:rPr>
                <w:rFonts w:ascii="仿宋_GB2312" w:hAnsi="仿宋_GB2312" w:cs="仿宋_GB2312" w:eastAsia="仿宋_GB2312"/>
              </w:rPr>
              <w:t>是否按照磋商文件要求缴纳保证金</w:t>
            </w:r>
          </w:p>
        </w:tc>
        <w:tc>
          <w:tcPr>
            <w:tcW w:type="dxa" w:w="1661"/>
          </w:tcPr>
          <w:p>
            <w:pPr>
              <w:pStyle w:val="null3"/>
            </w:pPr>
            <w:r>
              <w:rPr>
                <w:rFonts w:ascii="仿宋_GB2312" w:hAnsi="仿宋_GB2312" w:cs="仿宋_GB2312" w:eastAsia="仿宋_GB2312"/>
              </w:rPr>
              <w:t>磋商保证金</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供应商资质要求</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供应商针对本项目进行总体分析：具有规范的服务体系、工作流程、施工部署、分析工程现场的施工条件以及处置措施、冬雨季的施工保障措施等方面综合赋分。 （1）针对本项目施工方案具有针对性、合理性计7.1-10分； （2）针对本项目施工方案，满足采购要求计3.1-7.0分； （3）针对本项目施工方案，基本满足采购需求计0-3分 （4）有明显缺陷，及未提供不得分。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针对本项目制定具体可行的质量保证措施和管理制度，新技术、新工艺、新产品、新材料的应用情况，所供材料需满足国家及行业技术标准要求、对技术难点、重点及关键部位施工方案制定了保证措等综合赋分： （1）针对本项目制定的质量保证措施及方案完善、具体可行得7.1-10分； （2）针对本项目制定的质量保证措施及方案完善、可实施性一般得3.1-7分； （3）针对本项目制定的质量保证措施及方案不完善、不具备实施性得0-3分。 （4）有明显缺陷及未提供不得分。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施工进度计划表及违约责任承诺</w:t>
            </w:r>
          </w:p>
        </w:tc>
        <w:tc>
          <w:tcPr>
            <w:tcW w:type="dxa" w:w="2492"/>
          </w:tcPr>
          <w:p>
            <w:pPr>
              <w:pStyle w:val="null3"/>
            </w:pPr>
            <w:r>
              <w:rPr>
                <w:rFonts w:ascii="仿宋_GB2312" w:hAnsi="仿宋_GB2312" w:cs="仿宋_GB2312" w:eastAsia="仿宋_GB2312"/>
              </w:rPr>
              <w:t>根据供应商提供的施工进度计划表（横道图）或网络图及各阶段进度的施工计划，确保项目按时顺利实施及全面详细的违约责任承诺等综合赋分。 （1）提供施工进度计划表（横道图）或网络图和各阶段进度的保证措施详细、可操作性强及违约责任承诺详细、全面计6.1-9分； （2）提供施工进度计划表或网络图和各阶段进度的保证措施较详细、可操作性较强及违约责任承诺较详细、较全面计3.1-6.0分； （3）提供施工进度计划表或网络图和各阶段进度的保证措施基本满足采购需求及有违约责任承诺计0-3分； （4）有明显缺陷，及未提供不得分。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施工进度计划表及违约责任承诺</w:t>
            </w:r>
          </w:p>
        </w:tc>
      </w:tr>
      <w:tr>
        <w:tc>
          <w:tcPr>
            <w:tcW w:type="dxa" w:w="831"/>
            <w:vMerge/>
          </w:tcPr>
          <w:p/>
        </w:tc>
        <w:tc>
          <w:tcPr>
            <w:tcW w:type="dxa" w:w="1661"/>
          </w:tcPr>
          <w:p>
            <w:pPr>
              <w:pStyle w:val="null3"/>
            </w:pPr>
            <w:r>
              <w:rPr>
                <w:rFonts w:ascii="仿宋_GB2312" w:hAnsi="仿宋_GB2312" w:cs="仿宋_GB2312" w:eastAsia="仿宋_GB2312"/>
              </w:rPr>
              <w:t>机械设备及劳动力投入计划</w:t>
            </w:r>
          </w:p>
        </w:tc>
        <w:tc>
          <w:tcPr>
            <w:tcW w:type="dxa" w:w="2492"/>
          </w:tcPr>
          <w:p>
            <w:pPr>
              <w:pStyle w:val="null3"/>
            </w:pPr>
            <w:r>
              <w:rPr>
                <w:rFonts w:ascii="仿宋_GB2312" w:hAnsi="仿宋_GB2312" w:cs="仿宋_GB2312" w:eastAsia="仿宋_GB2312"/>
              </w:rPr>
              <w:t>提供机械设备及劳动力投入计划，采用先进机械设备，根据项目施工需要，安排充足的劳动力，与项目施工进度相匹配，提供机械设备配置计划、施工机械进场计划表及劳动力安排计划。 （1）提供机械设备投入计划，采用先进机械设备，劳动力安排充足，满足项目施工需要，与项目施工进度相呼应计7.1-10分； （2）提供机械设备投入计划，采用较先进机械设备，劳动力安基本满足项目施工需要，与项目施工进度相呼应计3.1-7.0分； （3）提供机械设备投入计划，采用常规的机械设备，劳动力配备欠缺，不能够满足项目施工基本需要，与项目施工进度不呼应计0-3.0分。 （4）有明显缺陷，及未提供不得分。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机械设备及劳动力投入计划</w:t>
            </w:r>
          </w:p>
        </w:tc>
      </w:tr>
      <w:tr>
        <w:tc>
          <w:tcPr>
            <w:tcW w:type="dxa" w:w="831"/>
            <w:vMerge/>
          </w:tcPr>
          <w:p/>
        </w:tc>
        <w:tc>
          <w:tcPr>
            <w:tcW w:type="dxa" w:w="1661"/>
          </w:tcPr>
          <w:p>
            <w:pPr>
              <w:pStyle w:val="null3"/>
            </w:pPr>
            <w:r>
              <w:rPr>
                <w:rFonts w:ascii="仿宋_GB2312" w:hAnsi="仿宋_GB2312" w:cs="仿宋_GB2312" w:eastAsia="仿宋_GB2312"/>
              </w:rPr>
              <w:t>安全、文明、环保施工措施</w:t>
            </w:r>
          </w:p>
        </w:tc>
        <w:tc>
          <w:tcPr>
            <w:tcW w:type="dxa" w:w="2492"/>
          </w:tcPr>
          <w:p>
            <w:pPr>
              <w:pStyle w:val="null3"/>
            </w:pPr>
            <w:r>
              <w:rPr>
                <w:rFonts w:ascii="仿宋_GB2312" w:hAnsi="仿宋_GB2312" w:cs="仿宋_GB2312" w:eastAsia="仿宋_GB2312"/>
              </w:rPr>
              <w:t>根据供应商提供的安全管理体系与安全生产责任制，落实安全设施设置，排除安全隐患提供安全保证计划，制定专项安全施工技术措施，文明施工措施、施工现场环保措施等综合赋分： （1）安全、文明施工措施全面、具体、可行计6.1-8分； （2）安全、文明施工措施较具体、较完整、可行性一般计3.1-6.0分； （3）安全、文明施工措施不能够满足采购需求计0-3分； （4）有明显缺陷，及未提供不得分。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安全、文明、环保施工措施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对降低工程造价、缩短施工周期的合理化建议，横向比较计（1-5分）不提供不得分；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1、拟派项目经理具备工程类高级职称得2分，工程类中级职称得1分，其它不得分。评审依据：以响应文件中加盖供应商公章的职称证复印件为准。 2、项目组人员配置：提供质检员证、施工员证、资料员证、材料员证、安全员证、造价员证。完全满足以上人员证书要求得6分。缺一项人员证书扣1分。（提供以上人员在本单位2024年10月至今任意三个月社保缴纳证明）一人持多证按一证计算。</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售后服务措施及保修承诺</w:t>
            </w:r>
          </w:p>
        </w:tc>
        <w:tc>
          <w:tcPr>
            <w:tcW w:type="dxa" w:w="2492"/>
          </w:tcPr>
          <w:p>
            <w:pPr>
              <w:pStyle w:val="null3"/>
            </w:pPr>
            <w:r>
              <w:rPr>
                <w:rFonts w:ascii="仿宋_GB2312" w:hAnsi="仿宋_GB2312" w:cs="仿宋_GB2312" w:eastAsia="仿宋_GB2312"/>
              </w:rPr>
              <w:t>针对本项目提供： 施工服务配合承诺、承诺质保期内的保修内容及时效性服务承诺，视其响应程度计0-5分。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售后服务措施及保修承诺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供应商提供2022年1月1日至今类似项目业绩合同（以合同签订时间为准），提供1份计1分，最高得5分。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经初审合格的响应文件，其报价为有效报价。 满足采购文件实质性要求且最终报价最低的供应商报价为评审基准价，其价格分为满分30分。 报价得分=（评审基准价/最终报价）×30。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详见附件：安全、文明、环保施工措施</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详见附件：磋商一览表</w:t>
      </w:r>
    </w:p>
    <w:p>
      <w:pPr>
        <w:pStyle w:val="null3"/>
        <w:ind w:firstLine="960"/>
      </w:pPr>
      <w:r>
        <w:rPr>
          <w:rFonts w:ascii="仿宋_GB2312" w:hAnsi="仿宋_GB2312" w:cs="仿宋_GB2312" w:eastAsia="仿宋_GB2312"/>
        </w:rPr>
        <w:t>详见附件：工程量清单报价</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详见附件：供应商认为有必要说明的其他问题</w:t>
      </w:r>
    </w:p>
    <w:p>
      <w:pPr>
        <w:pStyle w:val="null3"/>
        <w:ind w:firstLine="960"/>
      </w:pPr>
      <w:r>
        <w:rPr>
          <w:rFonts w:ascii="仿宋_GB2312" w:hAnsi="仿宋_GB2312" w:cs="仿宋_GB2312" w:eastAsia="仿宋_GB2312"/>
        </w:rPr>
        <w:t>详见附件：供应商资质要求</w:t>
      </w:r>
    </w:p>
    <w:p>
      <w:pPr>
        <w:pStyle w:val="null3"/>
        <w:ind w:firstLine="960"/>
      </w:pPr>
      <w:r>
        <w:rPr>
          <w:rFonts w:ascii="仿宋_GB2312" w:hAnsi="仿宋_GB2312" w:cs="仿宋_GB2312" w:eastAsia="仿宋_GB2312"/>
        </w:rPr>
        <w:t>详见附件：合理化建议</w:t>
      </w:r>
    </w:p>
    <w:p>
      <w:pPr>
        <w:pStyle w:val="null3"/>
        <w:ind w:firstLine="960"/>
      </w:pPr>
      <w:r>
        <w:rPr>
          <w:rFonts w:ascii="仿宋_GB2312" w:hAnsi="仿宋_GB2312" w:cs="仿宋_GB2312" w:eastAsia="仿宋_GB2312"/>
        </w:rPr>
        <w:t>详见附件：机械设备及劳动力投入计划</w:t>
      </w:r>
    </w:p>
    <w:p>
      <w:pPr>
        <w:pStyle w:val="null3"/>
        <w:ind w:firstLine="960"/>
      </w:pPr>
      <w:r>
        <w:rPr>
          <w:rFonts w:ascii="仿宋_GB2312" w:hAnsi="仿宋_GB2312" w:cs="仿宋_GB2312" w:eastAsia="仿宋_GB2312"/>
        </w:rPr>
        <w:t>详见附件：商务和技术响应偏离表</w:t>
      </w:r>
    </w:p>
    <w:p>
      <w:pPr>
        <w:pStyle w:val="null3"/>
        <w:ind w:firstLine="960"/>
      </w:pPr>
      <w:r>
        <w:rPr>
          <w:rFonts w:ascii="仿宋_GB2312" w:hAnsi="仿宋_GB2312" w:cs="仿宋_GB2312" w:eastAsia="仿宋_GB2312"/>
        </w:rPr>
        <w:t>详见附件：施工进度计划表及违约责任承诺</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详见附件：售后服务措施及保修承诺</w:t>
      </w:r>
    </w:p>
    <w:p>
      <w:pPr>
        <w:pStyle w:val="null3"/>
        <w:ind w:firstLine="960"/>
      </w:pPr>
      <w:r>
        <w:rPr>
          <w:rFonts w:ascii="仿宋_GB2312" w:hAnsi="仿宋_GB2312" w:cs="仿宋_GB2312" w:eastAsia="仿宋_GB2312"/>
        </w:rPr>
        <w:t>详见附件：项目团队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