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4E9A1">
      <w:pPr>
        <w:pStyle w:val="5"/>
        <w:jc w:val="center"/>
        <w:outlineLvl w:val="1"/>
        <w:rPr>
          <w:highlight w:val="none"/>
        </w:rPr>
      </w:pPr>
      <w:r>
        <w:rPr>
          <w:rFonts w:ascii="仿宋_GB2312" w:hAnsi="仿宋_GB2312" w:eastAsia="仿宋_GB2312" w:cs="仿宋_GB2312"/>
          <w:b/>
          <w:sz w:val="36"/>
          <w:highlight w:val="none"/>
        </w:rPr>
        <w:t>拟签订采购合同文本</w:t>
      </w:r>
    </w:p>
    <w:p w14:paraId="55D30309">
      <w:pPr>
        <w:tabs>
          <w:tab w:val="left" w:pos="735"/>
        </w:tabs>
        <w:autoSpaceDE w:val="0"/>
        <w:autoSpaceDN w:val="0"/>
        <w:adjustRightInd w:val="0"/>
        <w:snapToGrid w:val="0"/>
        <w:spacing w:before="240" w:beforeLines="100" w:line="360" w:lineRule="auto"/>
        <w:rPr>
          <w:rFonts w:hint="eastAsia" w:ascii="仿宋" w:hAnsi="仿宋" w:eastAsia="仿宋" w:cs="仿宋"/>
          <w:b/>
          <w:bCs/>
          <w:sz w:val="24"/>
          <w:highlight w:val="none"/>
          <w:lang w:val="zh-CN"/>
        </w:rPr>
      </w:pPr>
      <w:bookmarkStart w:id="0" w:name="_GoBack"/>
      <w:bookmarkEnd w:id="0"/>
      <w:r>
        <w:rPr>
          <w:rFonts w:ascii="仿宋_GB2312" w:hAnsi="仿宋_GB2312" w:eastAsia="仿宋_GB2312" w:cs="仿宋_GB2312"/>
          <w:highlight w:val="none"/>
        </w:rPr>
        <w:br w:type="textWrapping"/>
      </w:r>
      <w:r>
        <w:rPr>
          <w:rFonts w:hint="eastAsia" w:ascii="仿宋" w:hAnsi="仿宋" w:eastAsia="仿宋" w:cs="仿宋"/>
          <w:b/>
          <w:bCs/>
          <w:sz w:val="24"/>
          <w:highlight w:val="none"/>
          <w:lang w:val="zh-CN"/>
        </w:rPr>
        <w:t>甲方：</w:t>
      </w:r>
      <w:r>
        <w:rPr>
          <w:rFonts w:hint="eastAsia" w:ascii="仿宋" w:hAnsi="仿宋" w:eastAsia="仿宋" w:cs="仿宋"/>
          <w:bCs/>
          <w:sz w:val="24"/>
          <w:highlight w:val="none"/>
          <w:lang w:val="zh-CN"/>
        </w:rPr>
        <w:t xml:space="preserve">（前款所称采购人）     </w:t>
      </w:r>
      <w:r>
        <w:rPr>
          <w:rFonts w:hint="eastAsia" w:ascii="仿宋" w:hAnsi="仿宋" w:eastAsia="仿宋" w:cs="仿宋"/>
          <w:bCs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bCs/>
          <w:sz w:val="24"/>
          <w:highlight w:val="none"/>
          <w:lang w:val="zh-CN"/>
        </w:rPr>
        <w:t>住所：</w:t>
      </w:r>
    </w:p>
    <w:p w14:paraId="55C38E5A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val="zh-CN"/>
        </w:rPr>
        <w:t>乙方：</w:t>
      </w:r>
      <w:r>
        <w:rPr>
          <w:rFonts w:hint="eastAsia" w:ascii="仿宋" w:hAnsi="仿宋" w:eastAsia="仿宋" w:cs="仿宋"/>
          <w:bCs/>
          <w:sz w:val="24"/>
          <w:highlight w:val="none"/>
          <w:lang w:val="zh-CN"/>
        </w:rPr>
        <w:t>（前款所称</w:t>
      </w:r>
      <w:r>
        <w:rPr>
          <w:rFonts w:hint="eastAsia" w:ascii="仿宋" w:hAnsi="仿宋" w:eastAsia="仿宋" w:cs="仿宋"/>
          <w:bCs/>
          <w:sz w:val="24"/>
          <w:highlight w:val="none"/>
        </w:rPr>
        <w:t>成交供应商</w:t>
      </w:r>
      <w:r>
        <w:rPr>
          <w:rFonts w:hint="eastAsia" w:ascii="仿宋" w:hAnsi="仿宋" w:eastAsia="仿宋" w:cs="仿宋"/>
          <w:bCs/>
          <w:sz w:val="24"/>
          <w:highlight w:val="none"/>
          <w:lang w:val="zh-CN"/>
        </w:rPr>
        <w:t>）     住所：</w:t>
      </w:r>
    </w:p>
    <w:p w14:paraId="3EDD6D2C">
      <w:pPr>
        <w:spacing w:line="440" w:lineRule="exact"/>
        <w:ind w:firstLine="484" w:firstLineChars="20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甲方：</w:t>
      </w:r>
    </w:p>
    <w:p w14:paraId="1A0E8259">
      <w:pPr>
        <w:spacing w:line="440" w:lineRule="exact"/>
        <w:ind w:firstLine="484" w:firstLineChars="20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乙方：</w:t>
      </w:r>
    </w:p>
    <w:p w14:paraId="0F52B4F3">
      <w:pPr>
        <w:spacing w:line="440" w:lineRule="exact"/>
        <w:ind w:firstLine="424" w:firstLineChars="177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经甲、乙双方友好协商，就乙绿化养护管理事宜，达成以下协议：</w:t>
      </w:r>
    </w:p>
    <w:p w14:paraId="3240FDA9">
      <w:pPr>
        <w:spacing w:line="440" w:lineRule="exact"/>
        <w:ind w:firstLine="426" w:firstLineChars="177"/>
        <w:jc w:val="left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一、绿化养护管理内容：</w:t>
      </w:r>
    </w:p>
    <w:p w14:paraId="158E0F38">
      <w:pPr>
        <w:spacing w:line="440" w:lineRule="exact"/>
        <w:ind w:firstLine="424" w:firstLineChars="177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绿化养护地点：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采购人指定地点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354B2B86">
      <w:pPr>
        <w:spacing w:line="440" w:lineRule="exact"/>
        <w:ind w:firstLine="424" w:firstLineChars="177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绿化养护内容：</w:t>
      </w:r>
    </w:p>
    <w:p w14:paraId="3A4BDA31">
      <w:pPr>
        <w:spacing w:line="440" w:lineRule="exact"/>
        <w:ind w:firstLine="424" w:firstLineChars="177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绿化养护面积：</w:t>
      </w:r>
    </w:p>
    <w:p w14:paraId="6215D800">
      <w:pPr>
        <w:spacing w:line="440" w:lineRule="exact"/>
        <w:ind w:firstLine="426" w:firstLineChars="177"/>
        <w:jc w:val="left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二、绿化养护价格：</w:t>
      </w:r>
    </w:p>
    <w:p w14:paraId="6C668789">
      <w:pPr>
        <w:spacing w:line="440" w:lineRule="exact"/>
        <w:ind w:firstLine="426" w:firstLineChars="177"/>
        <w:jc w:val="left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本合同总价为：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b/>
          <w:sz w:val="24"/>
          <w:highlight w:val="none"/>
        </w:rPr>
        <w:t>元。</w:t>
      </w:r>
    </w:p>
    <w:p w14:paraId="06E88796">
      <w:pPr>
        <w:spacing w:line="440" w:lineRule="exact"/>
        <w:ind w:firstLine="426" w:firstLineChars="177"/>
        <w:jc w:val="left"/>
        <w:rPr>
          <w:rFonts w:hint="eastAsia" w:ascii="仿宋" w:hAnsi="仿宋" w:eastAsia="仿宋" w:cs="仿宋"/>
          <w:b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三、服务期限：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一年</w:t>
      </w:r>
    </w:p>
    <w:p w14:paraId="79A90D82">
      <w:pPr>
        <w:spacing w:line="440" w:lineRule="exact"/>
        <w:ind w:firstLine="426" w:firstLineChars="177"/>
        <w:jc w:val="left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根据《财政部关于推进和完善服务项目政府采购有关问题的通知》（财库〔2014〕37号）有关规定，本项目在合同期满前，甲方有权决定是否续签合同，累计合同履行期限不超过3年。后续续签合同时本项目若受财政预算额度等影响，需甲乙双方协商一致后按相关要求办理后续手续。。</w:t>
      </w:r>
    </w:p>
    <w:p w14:paraId="66F80C6E">
      <w:pPr>
        <w:spacing w:line="440" w:lineRule="exact"/>
        <w:ind w:firstLine="426" w:firstLineChars="177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24"/>
          <w:highlight w:val="none"/>
        </w:rPr>
        <w:t>、付款方式:</w:t>
      </w:r>
    </w:p>
    <w:p w14:paraId="1F6D4394">
      <w:pPr>
        <w:spacing w:line="360" w:lineRule="auto"/>
        <w:ind w:firstLine="424" w:firstLineChars="177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1.付款方式：</w:t>
      </w:r>
    </w:p>
    <w:p w14:paraId="637BB670">
      <w:pPr>
        <w:spacing w:line="360" w:lineRule="auto"/>
        <w:ind w:firstLine="424" w:firstLineChars="177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合同签订后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达到付款条件起15日内，支付合同总金额的40.00%。</w:t>
      </w:r>
    </w:p>
    <w:p w14:paraId="6A38D700">
      <w:pPr>
        <w:spacing w:line="360" w:lineRule="auto"/>
        <w:ind w:firstLine="424" w:firstLineChars="177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合同签订6个月后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达到付款条件起15日内，支付合同总金额的40.00%</w:t>
      </w:r>
    </w:p>
    <w:p w14:paraId="5F2EFBC3">
      <w:pPr>
        <w:spacing w:line="360" w:lineRule="auto"/>
        <w:ind w:firstLine="424" w:firstLineChars="177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1.3、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合同签订12个月后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达到付款条件起15日内，支付合同总金额的20.00%</w:t>
      </w:r>
    </w:p>
    <w:p w14:paraId="012BB47F">
      <w:pPr>
        <w:spacing w:line="360" w:lineRule="auto"/>
        <w:ind w:firstLine="424" w:firstLineChars="177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2．合同执行过程中所发生的劳动力、材料、设备和服务等费用由乙方承担，甲方无需再支付任何费用。</w:t>
      </w:r>
    </w:p>
    <w:p w14:paraId="537F4638">
      <w:pPr>
        <w:spacing w:line="360" w:lineRule="auto"/>
        <w:ind w:firstLine="426" w:firstLineChars="177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五、质量保证</w:t>
      </w:r>
    </w:p>
    <w:p w14:paraId="6E9E19A3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1.甲方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天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对绿化养护情况进行一次检查，乙方应派专人参与检查，并对指出的绿化问题进行解决。要求乙方对甲方提出的简单问题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个工作日内处理，复杂问题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个工作日内进行处理，因材料问题无法处理的应第一时间进行回复，并说明整改时间。如乙方执行力不强，未能按时、按质进行整改，甲方有权要求乙方缴纳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元违约金。情节严重或反复出现整改无效的情况，每次缴纳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元违约金，直至解除本合同。</w:t>
      </w:r>
    </w:p>
    <w:p w14:paraId="7BCBAC92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.如因乙方未能按照合同约定做好绿化养护工作，致使甲方在绿化养护方面受到上级单位或外界批评投诉，每有一次甲方有权要求乙方缴纳不少于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元的违约金。</w:t>
      </w:r>
    </w:p>
    <w:p w14:paraId="132808E4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.乙方按照养护标准做好日常的病虫害防治工作，如出现防治不及时导致的大面积虫害问题或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植物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死亡的现象时，乙方须按同规格同类型补栽完整，情节严重者甲方有权进行处罚。</w:t>
      </w:r>
    </w:p>
    <w:p w14:paraId="4FF4F064">
      <w:pPr>
        <w:spacing w:line="360" w:lineRule="auto"/>
        <w:ind w:firstLine="426" w:firstLineChars="177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六、双方权利和义务</w:t>
      </w:r>
    </w:p>
    <w:p w14:paraId="7A4BDCD6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（一）甲方权利和义务：</w:t>
      </w:r>
    </w:p>
    <w:p w14:paraId="19B93DB4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1.甲方工作人员有权对乙方的服务质量进行检查和督导，如乙方的服务质量达不到合同服务标准时，甲方有权根据乙方对甲方造成的损失对乙方进行罚款，且甲方可要求乙方限期整改。如若未按甲方限定时间有效整改或整改后仍未达到甲方要求，甲方有权单方面解除合同，并按本合同条款追究乙方违约责任。</w:t>
      </w:r>
    </w:p>
    <w:p w14:paraId="6DB29937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2.甲方根据乙方的服务质量及管理实况，有权制定工作相关的管理制度及计划和预案，乙方应无条件执行。</w:t>
      </w:r>
    </w:p>
    <w:p w14:paraId="555D899B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3.甲方有权利对提供乙方的绿化用具及相关机具、耗材的使用和管理情况进行检查。</w:t>
      </w:r>
    </w:p>
    <w:p w14:paraId="70FE3E68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4.如乙方工作人员或项目经理，服务与管理达不到甲方要求的，甲方有权提出更换，乙方应在七个工作日内予以落实。</w:t>
      </w:r>
    </w:p>
    <w:p w14:paraId="66922F1E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5.甲方根据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陕西历史博物馆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秦汉馆实际情况尽量为乙方员工提供更衣室、库房、办公室，并协助办理员工出入证等各项手续。</w:t>
      </w:r>
    </w:p>
    <w:p w14:paraId="58E0BF3D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6.甲方如终止绿化服务合同时，需提前三十个工作日以书面形式通知乙方，乙方在收到书面通知之日起，不回复则视为认可。同时，做好相关手续的交接工作。</w:t>
      </w:r>
    </w:p>
    <w:p w14:paraId="5D8A3866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（二）乙方权利和义务</w:t>
      </w:r>
    </w:p>
    <w:p w14:paraId="2689381F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1.乙方应以书面形式向甲方委派项目经理。乙方委派的项目经理应严格履行合同文件的约定和承诺，项目经理同甲方签订的相关文书，甲方可视为乙方公司法人签订。</w:t>
      </w:r>
    </w:p>
    <w:p w14:paraId="6FFE26F5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2.乙方应积极参加甲方例会及相关的会议和活动，根据甲方要求和实际情况制定工作管理制度、计划、应急预案等并建立相关的管理资料，并交于甲方审核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在甲方同意的前提下，乙方严格按照规定进行工作。</w:t>
      </w:r>
    </w:p>
    <w:p w14:paraId="235FA141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3.乙方负责服务范围内相关设备，设施的维管，如因乙方管理不当造成的损坏，乙方负责维修及赔偿。</w:t>
      </w:r>
    </w:p>
    <w:p w14:paraId="0DA03908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4.乙方制作的工服色彩和样式应事先征得甲方认可，并要求员工按规范着装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。</w:t>
      </w:r>
    </w:p>
    <w:p w14:paraId="41B13711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5.乙方应自觉遵守甲方的内部管理及各项规章制度，并积极配合甲方相关部门签订相关的责任书。乙方工作人员不得随意进入与绿化服务无关的区域，如因此引发的一切不良后果责任由乙方承担。</w:t>
      </w:r>
    </w:p>
    <w:p w14:paraId="7BB48238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6.乙方有义务购买工作相关的社会保险、意外保险，如因管理不当造成员工利益等相关的纠纷事件发生时，一切责任及费用由乙方承担。</w:t>
      </w:r>
    </w:p>
    <w:p w14:paraId="5B7FC45E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7.乙方不得分包、转包，不得引进任何第三人。</w:t>
      </w:r>
    </w:p>
    <w:p w14:paraId="30F790E9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8.乙方应在合同签订后向甲方提供员工花名册、信息表、身份证复印件、健康证明以及与其签订的劳动合同书复印件等资料。</w:t>
      </w:r>
    </w:p>
    <w:p w14:paraId="44E0D8AE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9.乙方所属员工在工作过程中遭受事故伤害的，或造成他方伤害以及第三方伤害的，乙方应积极予以救治并承担相关费用。</w:t>
      </w:r>
    </w:p>
    <w:p w14:paraId="401E12BC">
      <w:pPr>
        <w:spacing w:line="360" w:lineRule="auto"/>
        <w:ind w:firstLine="426" w:firstLineChars="177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七、违约责任：</w:t>
      </w:r>
    </w:p>
    <w:p w14:paraId="1A51224F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甲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乙双方应严格履行合同，如乙方在合同期内不能确保甲方要求的服务质量与绿化标准，且甲方在要求乙方限期整改后，乙方未在限期内整改或整改后不能满足甲方的要求，甲方有权扣除乙方的绿化服务费用或单方面解除绿化服务合同，且乙方应承担合同总额30%的违约金。</w:t>
      </w:r>
    </w:p>
    <w:p w14:paraId="54CFA72B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2.甲方收到游客投诉因乙方服务质量等负面信息3条时，或甲方及相关单位游客满意度调查报告，满意度三次未达到要求(服务满意度低于80%)的，甲方以书面形式告知乙方限期整改，限期整改仍未达标，甲方有权单方面解除合同，且乙方应承担合同总额30%的违约金。</w:t>
      </w:r>
    </w:p>
    <w:p w14:paraId="182BA47C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3.合同期内，乙方如因管理不当在网站、报刊、电视台等媒体给甲方造成负面声誉及恶劣影响时，乙方有责任为甲方恢复声誉并承担相应的责任。甲方有权根据事件产生社会影响的程度大小，可扣除乙方当月的绿化服务费用或解除绿化服务合同。</w:t>
      </w:r>
    </w:p>
    <w:p w14:paraId="3D1B9FBB">
      <w:pPr>
        <w:spacing w:line="360" w:lineRule="auto"/>
        <w:ind w:firstLine="426" w:firstLineChars="177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八、本合同自签订之日起生效。本合同一式四份，甲乙双方各执二份。</w:t>
      </w:r>
    </w:p>
    <w:p w14:paraId="6440DFEE">
      <w:pPr>
        <w:spacing w:line="360" w:lineRule="auto"/>
        <w:ind w:firstLine="426" w:firstLineChars="177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九、本合同在履行过程中发生的争议，由双方协商解决；协商不成的，任何一方均有权向甲方所在地人民法院提起诉讼。</w:t>
      </w:r>
    </w:p>
    <w:p w14:paraId="3BFB245E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甲方（公章）：                        乙方（公章）：</w:t>
      </w:r>
    </w:p>
    <w:p w14:paraId="4482F682">
      <w:pPr>
        <w:spacing w:line="360" w:lineRule="auto"/>
        <w:ind w:firstLine="424" w:firstLineChars="177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授权代表：                            授权代表：</w:t>
      </w:r>
    </w:p>
    <w:p w14:paraId="093257E2">
      <w:pPr>
        <w:pStyle w:val="5"/>
        <w:ind w:firstLine="480" w:firstLineChars="200"/>
        <w:rPr>
          <w:rFonts w:hint="eastAsia"/>
          <w:highlight w:val="none"/>
          <w:lang w:val="en-US" w:eastAsia="zh-Hans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签订日期：                            签订日期：</w:t>
      </w:r>
    </w:p>
    <w:p w14:paraId="37C6E7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0B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2025-10-23T04:58:14Z</dcterms:created>
  <dc:creator>Administrator</dc:creator>
  <cp:lastModifiedBy>南方有嘉木</cp:lastModifiedBy>
  <dcterms:modified xsi:type="dcterms:W3CDTF">2025-10-23T04:58:46Z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eyJoZGlkIjoiYTIxOTlhMTNjYjRlMTVkNDM5NmQzYjcwM2YwODYzMzgiLCJ1c2VySWQiOiIzNzA1NjgyNzgifQ==</vt:lpwstr>
  </property>
  <property fmtid="{D5CDD505-2E9C-101B-9397-08002B2CF9AE}" pid="4" name="ICV">
    <vt:lpwstr>0CC78C1EC86543AEB0EAC9E58AF6EC63_12</vt:lpwstr>
  </property>
</Properties>
</file>