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版本号：ZJZBSX-250751-1094720251023002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超窄线宽稳频激光器采购项目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ZJZBSX-250751-10947</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超窄线宽稳频激光器采购项目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ZJZBSX-250751-10947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超窄线宽稳频激光器采购项目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超窄线宽稳频激光器采购项目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4、社会保障资金缴纳证明：供应商提供投标文件递交截止日前一年内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5、税收缴纳证明：供应商提供投标文件递交截止日前一年内已缴存的任意一个月的纳税证明或完税证明，纳税证明或完税证明上应有代收机构或税务机关的公章，依法免税的单位应提供相关证明材料；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6、书面声明（信用记录）：参加本次采购活动前3年内在经营活动中没有重大违纪，以及未被列入失信被执行人、重大税收违法案件当事人名单、政府采购严重违法失信行为记录名单的书面声明原件；</w:t>
      </w:r>
    </w:p>
    <w:p>
      <w:pPr>
        <w:pStyle w:val="null3"/>
      </w:pPr>
      <w:r>
        <w:rPr>
          <w:rFonts w:ascii="仿宋_GB2312" w:hAnsi="仿宋_GB2312" w:cs="仿宋_GB2312" w:eastAsia="仿宋_GB2312"/>
        </w:rPr>
        <w:t>7、承诺函：提供具有履行合同所必需的设备和专业技术能力的承诺；</w:t>
      </w:r>
    </w:p>
    <w:p>
      <w:pPr>
        <w:pStyle w:val="null3"/>
      </w:pPr>
      <w:r>
        <w:rPr>
          <w:rFonts w:ascii="仿宋_GB2312" w:hAnsi="仿宋_GB2312" w:cs="仿宋_GB2312" w:eastAsia="仿宋_GB2312"/>
        </w:rPr>
        <w:t>8、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祝清江、王佼、马浩博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 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代理服务费收费标准：1、成交金额50万元以下，按定额收取4687.00元。 2、成交金额50万元以上，收费标准参照中华人民共和国国家计划委员会计价格[2002]1980号文的0.775折计算收取。 3、本项目涉及的相关论证费用由成交供应商承担，本项目论证费按定额收取人民币贰仟壹佰贰拾伍元整，2125.00元。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超窄线宽稳频激光器采购项目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2,450,000.00</w:t>
      </w:r>
    </w:p>
    <w:p>
      <w:pPr>
        <w:pStyle w:val="null3"/>
      </w:pPr>
      <w:r>
        <w:rPr>
          <w:rFonts w:ascii="仿宋_GB2312" w:hAnsi="仿宋_GB2312" w:cs="仿宋_GB2312" w:eastAsia="仿宋_GB2312"/>
        </w:rPr>
        <w:t>采购包最高限价（元）: 1,750,000.00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超窄线宽稳频激光器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标的名称：超窄线宽稳频激光器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8"/>
              <w:gridCol w:w="1835"/>
              <w:gridCol w:w="244"/>
              <w:gridCol w:w="255"/>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超窄线宽稳频激光器</w:t>
                  </w:r>
                </w:p>
              </w:tc>
              <w:tc>
                <w:tcPr>
                  <w:tcW w:type="dxa" w:w="18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波长在</w:t>
                  </w:r>
                  <w:r>
                    <w:rPr>
                      <w:rFonts w:ascii="仿宋_GB2312" w:hAnsi="仿宋_GB2312" w:cs="仿宋_GB2312" w:eastAsia="仿宋_GB2312"/>
                      <w:sz w:val="20"/>
                    </w:rPr>
                    <w:t>1530-1650</w:t>
                  </w:r>
                  <w:r>
                    <w:rPr>
                      <w:rFonts w:ascii="仿宋_GB2312" w:hAnsi="仿宋_GB2312" w:cs="仿宋_GB2312" w:eastAsia="仿宋_GB2312"/>
                      <w:sz w:val="20"/>
                    </w:rPr>
                    <w:t>nm之间，输出功率为10mW；激光线宽≤3Hz，日频率漂移≤100kHz，工作温度范围为18~25°C；</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功耗</w:t>
                  </w:r>
                  <w:r>
                    <w:rPr>
                      <w:rFonts w:ascii="仿宋_GB2312" w:hAnsi="仿宋_GB2312" w:cs="仿宋_GB2312" w:eastAsia="仿宋_GB2312"/>
                      <w:sz w:val="20"/>
                    </w:rPr>
                    <w:t>≤100W；</w:t>
                  </w:r>
                </w:p>
                <w:p>
                  <w:pPr>
                    <w:pStyle w:val="null3"/>
                    <w:jc w:val="both"/>
                  </w:pPr>
                  <w:r>
                    <w:rPr>
                      <w:rFonts w:ascii="仿宋_GB2312" w:hAnsi="仿宋_GB2312" w:cs="仿宋_GB2312" w:eastAsia="仿宋_GB2312"/>
                      <w:sz w:val="20"/>
                    </w:rPr>
                    <w:t>3、集成触摸屏接口，可监控和控制锁定状态，调整环路增益设置；适用于光纤传感、激光雷达、微波生成等应用；</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、系统总质量</w:t>
                  </w:r>
                  <w:r>
                    <w:rPr>
                      <w:rFonts w:ascii="仿宋_GB2312" w:hAnsi="仿宋_GB2312" w:cs="仿宋_GB2312" w:eastAsia="仿宋_GB2312"/>
                      <w:sz w:val="20"/>
                    </w:rPr>
                    <w:t>≥45kg；</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、可模拟输出</w:t>
                  </w:r>
                  <w:r>
                    <w:rPr>
                      <w:rFonts w:ascii="仿宋_GB2312" w:hAnsi="仿宋_GB2312" w:cs="仿宋_GB2312" w:eastAsia="仿宋_GB2312"/>
                      <w:sz w:val="20"/>
                    </w:rPr>
                    <w:t>PDH误差信号；</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、腔体透光、腔体反射功率、输出对应同步扫描信号，在受到外部干扰时可直接扫描并锁定激光器；</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、外部显示激光温度及电流参数，腔体内配备温度监控装置、真空检测装置等，可直接反馈于面板，或与外置工作台相连接；</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、腔内自由光谱程</w:t>
                  </w:r>
                  <w:r>
                    <w:rPr>
                      <w:rFonts w:ascii="仿宋_GB2312" w:hAnsi="仿宋_GB2312" w:cs="仿宋_GB2312" w:eastAsia="仿宋_GB2312"/>
                      <w:sz w:val="20"/>
                    </w:rPr>
                    <w:t>≥3GHz；</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、偏差</w:t>
                  </w:r>
                  <w:r>
                    <w:rPr>
                      <w:rFonts w:ascii="仿宋_GB2312" w:hAnsi="仿宋_GB2312" w:cs="仿宋_GB2312" w:eastAsia="仿宋_GB2312"/>
                      <w:sz w:val="20"/>
                    </w:rPr>
                    <w:t>1秒无限性频率漂移≤9e-15；</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、偏频锁定范围为：</w:t>
                  </w:r>
                  <w:r>
                    <w:rPr>
                      <w:rFonts w:ascii="仿宋_GB2312" w:hAnsi="仿宋_GB2312" w:cs="仿宋_GB2312" w:eastAsia="仿宋_GB2312"/>
                      <w:sz w:val="20"/>
                    </w:rPr>
                    <w:t>100MHz-700MHz；</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、有波形发生器，多仪器并行等功能；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配套软件实现对系统可进行偏置锁定与精细频率调节，对系统内参数进行可视化监控与系统诊断告警，失锁时可自动扫描激光频率并重新锁定；</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19"/>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技术培训</w:t>
            </w:r>
          </w:p>
          <w:p>
            <w:pPr>
              <w:pStyle w:val="null3"/>
              <w:jc w:val="both"/>
            </w:pPr>
            <w:r>
              <w:rPr>
                <w:rFonts w:ascii="仿宋_GB2312" w:hAnsi="仿宋_GB2312" w:cs="仿宋_GB2312" w:eastAsia="仿宋_GB2312"/>
                <w:sz w:val="20"/>
              </w:rPr>
              <w:t>1.仪器安装后进行2天的现场培训，内容包括仪器的技术原理、操作、数据处理、基本维护等；应用工程师现场培训≥3天；免费4人次（人／周）培训（免培训费，食宿自理）。</w:t>
            </w:r>
          </w:p>
          <w:p>
            <w:pPr>
              <w:pStyle w:val="null3"/>
              <w:jc w:val="both"/>
            </w:pPr>
            <w:r>
              <w:rPr>
                <w:rFonts w:ascii="仿宋_GB2312" w:hAnsi="仿宋_GB2312" w:cs="仿宋_GB2312" w:eastAsia="仿宋_GB2312"/>
                <w:sz w:val="20"/>
              </w:rPr>
              <w:t>2.详细的培训计划，提供设备全套的操作流程及使用手册，维修手册等。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合同签订后150日历天内完成交付、安装调试。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进口产品付款条件：签订合同前向学校缴纳5%的履约保证金，由采购人委托外贸进出口公司 开出100%不可撤销信用证，采购人与中标人签订技术协议后，采购人将全额中标金额付至采购人与指定外贸公司开立的保证 金账户，外贸公司凭采购人出具的《外贸业务委托单》实施开立即期不可撤销信用证等操作;货到采购人指定地点验收合格 后，100%货款凭最终用户&lt;西安科技大学&gt;签署的验收报告解付，解付需采购人指令。缴纳的5%履约保证金无质量问题一 次性无息退还。国产产品付款方式：（1）非中小企业中标付款方式：签订合同前向学校缴纳5%的履约保证金，国内产品安 装调试经学校验收合格后一次性支付全款，同时缴纳的5%履约保证金无质量问题一次性无息退还。（2）中小企业中标付款 方式：签订合同前向学校缴纳5%的履约保证金，合同签订后采购人支付40%合同金额的预付款。国内产品安装调试经学校验 收合格后一次性支付60%合同金额的余款，同时缴纳的5%履约保证金无质量问题一次性无息退还。(后为系统自动生成格式 不能调整)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设备验收时需外聘相关专业专家进行验收，验收专家费用由中标单位支付； 进口产品： 1、交付检验：所供货物到货后，采购人和中标人指定人员共同参加开箱检验，中标人负责开箱，甲乙双方及时对货物名称、厂家、数量、品种、型号、规格、参数、功能需求等（中标人协助）进行核对、检验。若货物与合同约定不符，采购人有权拒绝接，中标人应无条件退换货直至合格，并承担逾期交货的违约责任，赔偿采购人损失。 2、初验：货物通过试运行测试后进入试运行，试运行不少于30日历日。由中标人向采购人（用户）提供详细的试运行报告，报告中至少应详细记录各种实测、运行数据。项目试运行且通过中标人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招投标文件和国内相应的标准、规范。验收合格后，采购人填写终验验收单，作为付款依据。验收不合格的，限期整改，整改过程中产生的费用和货物发生的一切损失由中标人承担；整改超过二次的，采购人有权单方解除本合同，中标人应无条件退还已收取的全部合同价款，并按合同总价30%向采购人支付违约金，违约金不足弥补采购人损失的，由中标人负责赔偿，货款尾款采购人有权不予支付。 国产产品： 1、初验：货物安装调试合格后，进行试运行测试，通过试运行测试后进入试运行，试运行不少于30日历日。由中标人向采购人提供详细的试运行报告，报告中至少应详细记录各种实测、运行数据。项目试运行且通过中标人自测后提交采购人使用单位进行初验。验收内容按试运行报告，现场查看货物运行情况。初验完成后，中标人填写初验验收报告并经采购人使用单位确认。 2、整体验收即终验：该项目初验完成后，采购人根据使用单位提供的初验验收报告，组织采购人相关人员和专家组成的验收小组对系统设备进行最终验收。验收依据为本合同文本、招投标文件和国内相应的标准、规范，本合同内所列功能参数逐条验收，并符合采购人稳定安全正常使用的需求。验收合格后，采购人填写终验验收单，并由中标人向采购人提交货物所包含的所有资料，以便采购人使用单位日后管理和维护。验收不合格的，限期整改，整改过程中产生的费用和货物发生的一切损失由中标人承担；整改超过二次的，采购人有权单方解除本合同，中标人应无条件退还已收取的全部合同价款，并按合同总价30%向采购人支付违约金，违约金不足弥补采购人损失的，由中标人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1.项目质保期：自验收合格交付之日起1年； 2.售后服务响应时间（质保期内）：即时响应（包括电话响应）；电话响应无法解决48小时内到达现场。修复时间24小时内解决；如在24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 -第12页- 执行。 2.提供的货物不符合合同要求，或者不能满足招标文件技术要求，中标人必须无条件退换直到合格，并承担逾期供货 违约责任。否则，采购人有权终止合同，中标人及制造厂商共同退还货款，并支付合同金额30%的违约金，违约金不足以弥 补损失的，应继续赔偿损失。 3.除因不可抗力，中标人逾期交货，每天应按合同总价的千分之一向采购人支付违约金。如中 标人逾期三十天仍未交齐货物的，采购人有权终止合同，中标人及制造厂商共同退还货款，并按合同总价30%向采购人支付 违约金，违约金不足以弥补损失的，应继续赔偿损失。 4.中标人所交货物的类型、版本、参数、功能需求等在使用中如发生 不符合合同约定、国家标准，或者所供货物达不到约定技术要求的，或者运行存在较大潜在风险的，导致采购人无法正常使用 的，中标人应无条件全额向采购人退还已收取的合同款，并向采购人支付合同总价款30%的违约金，违约金不足以弥补损失 的，应继续赔偿损失。 5.中标人所供货物在合理使用期限内，因质量或安装问题造成采购人或第三方人身伤亡、财产损失 的，中标人应负责解决并承担赔偿责任，并赔偿采购人所有损失（包含但不限于律师费、诉讼费等一切损失）；中标人应按采 购人要求采取退货、换货等方式处理，退换货的一切费用由中标人承担，并应退还采购人支付的合同总货款。 6.若交货后三 十日历日内中标人未完成安装调试的，每逾期一日应按合同总价的千分之一向采购人支付违约金。违约金不足以弥补损失的， 应继续赔偿采购人损失。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二、投标有效期：本项目投标有效期为从开标之日起120日历天。中标供应商的投标文件有效期自动延长合同履行完毕。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四、其他备注说明（因本项目使用电子招投标系统，格式无 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文件第2.4.4知识产权第二条要求。4、为顺利推进政府采购电子化交易平台应用工作，供应商需要在线提交所有通过电子化交易平台实施的政府采购项目的投标文件，同时，线下提交投标文件壹份、电子版（U盘1个）壹份。纸质投标文件建议A4纸双面打印装订成册，密封并加盖公章。邮寄或现场提交均可。若电子投标文件与纸质投标文件不一致的，以电子投标文件为准。邮寄地址：陕西省西安市碑林区陕西高速大厦16楼陕西中经招标有限公司；邮寄联系人：赵薇；邮寄方式：顺丰快递（不接受顺丰同城邮寄）。5、供应商若提供电子保函的，开标前请将电子保函扫描件发送至邮箱877581739@qq.com。6、中标供应商与采购人签订合同后请及时将合同扫描件发送至邮箱877581739@qq.com，以便及时办理保证金退还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供应商提供投标文件递交截止日前一年内的任意一个月的社会保障资金缴存单据或社保机构开具的社会保险参保缴费情况证明，依法不需要缴纳社会保障资金的单位应提供相关证明材料；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参加本次采购活动前3年内在经营活动中没有重大违纪，以及未被列入失信被执行人、重大税收违法案件当事人名单、政府采购严重违法失信行为记录名单的书面声明原件；</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投标人应提交的相关资格证明材料 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供应商名称与营业执照名称是否一致</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投标函 残疾人福利性单位声明函 标的清单 2分项报价表.docx 投标文件封面 3评审细则及标准相关对应内容.docx 监狱企业的证明文件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投标文件的签字盖章是否按招标文件要求</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投标函 残疾人福利性单位声明函 标的清单 2分项报价表.docx 投标文件封面 3评审细则及标准相关对应内容.docx 监狱企业的证明文件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报价唯一性且是否超过采购预算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技术及商务要求均满足招标文件要求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投标函 残疾人福利性单位声明函 2分项报价表.docx 标的清单 投标文件封面 3评审细则及标准相关对应内容.docx 1资格证明文件.docx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招标文件全部技术指标、参数要求的得34分。其中带“▲”项为重要技术指标参数，须按照招标要求提供佐证材料。标注▲的指标项（共3项）若未提供或所提供材料不合格或无法证明关键指标项（如型号、规格、性能指标等）的视为不满足，每有一项扣4分，扣完为止；其他技术指标、参数低于招标文件规定的相应技术指标、参数的，每有一项扣2分，扣完为止。 注：佐证材料不限于：产品彩页、检测报告、官网截图等证明材料，佐证材料须包含产品的技术参数，并按要求放入投标文件中，予以证明其技术参数的响应性。</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三、赋分标准（满分4.5分） ①培训内容：每完全满足一个评审标准得1分，满分3分； ②培训计划安排（包含不限于：对培训对象、培训时间做出计划，包括培训时间、地点、人次、方式、预计培训结果，保证采购人人员掌握仪器的基本操作和日常维护。）：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一、评审标准 1.完整性：方案须全面，对评审内容中的各项要求有详细描述； 2.可实施性：切合本项目实际情况，提出步骤清晰、合理的方案； 3.针对性：方案能够紧扣项目实际情况，内容科学合理。 三、赋分依据（满分4.5分） ①售后服务范围及保障措施：完全满足一个评审标准最高得0.5分，满分1.5分。 ②应急方案（包含不限于响应时间、故障处理、补救措施等相关内容）:完全满足一个评审标准最高得1分，满分3分。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售后承诺</w:t>
            </w:r>
          </w:p>
        </w:tc>
        <w:tc>
          <w:tcPr>
            <w:tcW w:type="dxa" w:w="2492"/>
          </w:tcPr>
          <w:p>
            <w:pPr>
              <w:pStyle w:val="null3"/>
            </w:pPr>
            <w:r>
              <w:rPr>
                <w:rFonts w:ascii="仿宋_GB2312" w:hAnsi="仿宋_GB2312" w:cs="仿宋_GB2312" w:eastAsia="仿宋_GB2312"/>
              </w:rPr>
              <w:t>1.根据招标要求提供质保期结束后延保服务收费标准，提供收费标准计1分； 2.原厂维修配件明细表及报价单，根据明细表及报价单的完整性计1分； 3.配件供应承诺函：保证设备停产后配件的供应期不少于5年，计1分； 4.回访承诺：提供定期回访及维护的承诺函，根据承诺内容计1分。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每增加6个月，加0.5分，最多计1分。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投标人提供自2022年1月1日起（以合同签订日为准）至今实施的同类产品业绩，每提供1个完整业绩（中标（成交）通知书、合同及验收报告）得1分，最高得8分。注：所提供的业绩证明材料不完整不得分。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以合格投标人有效投标总报价中的最低价为基准价，基准价为35分。投标报价得分＝（评标基准价/投标报价）×35%×100（小数点后保留2位小数）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详见附件：3评审细则及标准相关对应内容.docx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