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A91F49">
      <w:pPr>
        <w:jc w:val="left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政府采购合同                        合同编号：</w:t>
      </w:r>
    </w:p>
    <w:p w14:paraId="40102A58">
      <w:pPr>
        <w:pStyle w:val="3"/>
        <w:rPr>
          <w:rFonts w:hint="eastAsia" w:ascii="仿宋" w:hAnsi="仿宋" w:eastAsia="仿宋" w:cs="仿宋"/>
          <w:b/>
          <w:bCs/>
          <w:sz w:val="30"/>
          <w:szCs w:val="30"/>
        </w:rPr>
      </w:pPr>
    </w:p>
    <w:p w14:paraId="473DB758">
      <w:pPr>
        <w:pStyle w:val="3"/>
        <w:rPr>
          <w:rFonts w:hint="eastAsia" w:ascii="仿宋" w:hAnsi="仿宋" w:eastAsia="仿宋" w:cs="仿宋"/>
          <w:b/>
          <w:bCs/>
          <w:sz w:val="30"/>
          <w:szCs w:val="30"/>
        </w:rPr>
      </w:pPr>
    </w:p>
    <w:p w14:paraId="4729496E">
      <w:pPr>
        <w:pStyle w:val="3"/>
        <w:rPr>
          <w:rFonts w:hint="eastAsia" w:ascii="仿宋" w:hAnsi="仿宋" w:eastAsia="仿宋" w:cs="仿宋"/>
        </w:rPr>
      </w:pPr>
    </w:p>
    <w:p w14:paraId="2D0A7159">
      <w:pPr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项目</w:t>
      </w:r>
    </w:p>
    <w:p w14:paraId="5380FA3B">
      <w:pPr>
        <w:rPr>
          <w:rFonts w:hint="eastAsia" w:ascii="仿宋" w:hAnsi="仿宋" w:eastAsia="仿宋" w:cs="仿宋"/>
        </w:rPr>
      </w:pPr>
    </w:p>
    <w:p w14:paraId="6066C230">
      <w:pPr>
        <w:rPr>
          <w:rFonts w:hint="eastAsia" w:ascii="仿宋" w:hAnsi="仿宋" w:eastAsia="仿宋" w:cs="仿宋"/>
        </w:rPr>
      </w:pPr>
    </w:p>
    <w:p w14:paraId="5A7889CF">
      <w:pPr>
        <w:pStyle w:val="3"/>
        <w:rPr>
          <w:rFonts w:hint="eastAsia" w:ascii="仿宋" w:hAnsi="仿宋" w:eastAsia="仿宋" w:cs="仿宋"/>
        </w:rPr>
      </w:pPr>
    </w:p>
    <w:p w14:paraId="49DEAE7C">
      <w:pPr>
        <w:rPr>
          <w:rFonts w:hint="eastAsia" w:ascii="仿宋" w:hAnsi="仿宋" w:eastAsia="仿宋" w:cs="仿宋"/>
        </w:rPr>
      </w:pPr>
    </w:p>
    <w:p w14:paraId="30A88D11">
      <w:pPr>
        <w:rPr>
          <w:rFonts w:hint="eastAsia" w:ascii="仿宋" w:hAnsi="仿宋" w:eastAsia="仿宋" w:cs="仿宋"/>
        </w:rPr>
      </w:pPr>
    </w:p>
    <w:p w14:paraId="2137CABB"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（示范文本仅供参考）</w:t>
      </w:r>
    </w:p>
    <w:p w14:paraId="1A613BF7"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</w:p>
    <w:p w14:paraId="72177075">
      <w:pPr>
        <w:rPr>
          <w:rFonts w:hint="eastAsia" w:ascii="仿宋" w:hAnsi="仿宋" w:eastAsia="仿宋" w:cs="仿宋"/>
          <w:b/>
          <w:sz w:val="36"/>
          <w:szCs w:val="36"/>
        </w:rPr>
      </w:pPr>
    </w:p>
    <w:p w14:paraId="36F00EAA"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</w:p>
    <w:p w14:paraId="3F1C15F9">
      <w:pPr>
        <w:spacing w:before="156" w:beforeLines="50" w:line="360" w:lineRule="auto"/>
        <w:ind w:firstLine="1584" w:firstLineChars="493"/>
        <w:jc w:val="left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采购人：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</w:t>
      </w:r>
    </w:p>
    <w:p w14:paraId="4D0921D6">
      <w:pPr>
        <w:spacing w:before="156" w:beforeLines="50" w:line="360" w:lineRule="auto"/>
        <w:ind w:firstLine="1584" w:firstLineChars="493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供应商：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       </w:t>
      </w:r>
    </w:p>
    <w:p w14:paraId="43022DB2">
      <w:pPr>
        <w:pStyle w:val="3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二〇二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年  月</w:t>
      </w:r>
    </w:p>
    <w:p w14:paraId="7F39AE92">
      <w:pPr>
        <w:pStyle w:val="3"/>
        <w:rPr>
          <w:rFonts w:hint="eastAsia" w:ascii="仿宋" w:hAnsi="仿宋" w:eastAsia="仿宋" w:cs="仿宋"/>
        </w:rPr>
      </w:pPr>
    </w:p>
    <w:p w14:paraId="6FB370F3">
      <w:pPr>
        <w:pStyle w:val="3"/>
        <w:rPr>
          <w:rFonts w:hint="eastAsia" w:ascii="仿宋" w:hAnsi="仿宋" w:eastAsia="仿宋" w:cs="仿宋"/>
        </w:rPr>
      </w:pPr>
    </w:p>
    <w:p w14:paraId="090C6FD4">
      <w:pPr>
        <w:rPr>
          <w:rFonts w:hint="eastAsia" w:ascii="仿宋" w:hAnsi="仿宋" w:eastAsia="仿宋" w:cs="仿宋"/>
          <w:b/>
          <w:bCs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br w:type="page"/>
      </w:r>
    </w:p>
    <w:p w14:paraId="6D055607">
      <w:pPr>
        <w:jc w:val="center"/>
        <w:rPr>
          <w:rFonts w:hint="eastAsia" w:ascii="仿宋" w:hAnsi="仿宋" w:eastAsia="仿宋" w:cs="仿宋"/>
          <w:b/>
          <w:bCs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t>合同主要条款</w:t>
      </w:r>
    </w:p>
    <w:p w14:paraId="21C985D8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采购人（甲方）：</w:t>
      </w:r>
      <w:r>
        <w:rPr>
          <w:rFonts w:hint="eastAsia" w:ascii="仿宋" w:hAnsi="仿宋" w:eastAsia="仿宋" w:cs="仿宋"/>
          <w:b/>
          <w:sz w:val="24"/>
          <w:u w:val="single"/>
        </w:rPr>
        <w:t xml:space="preserve">                                      </w:t>
      </w:r>
    </w:p>
    <w:p w14:paraId="3762ACE6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b/>
          <w:sz w:val="24"/>
        </w:rPr>
        <w:t>供应商（乙方）：</w:t>
      </w:r>
      <w:r>
        <w:rPr>
          <w:rFonts w:hint="eastAsia" w:ascii="仿宋" w:hAnsi="仿宋" w:eastAsia="仿宋" w:cs="仿宋"/>
          <w:b/>
          <w:sz w:val="24"/>
          <w:u w:val="single"/>
        </w:rPr>
        <w:t xml:space="preserve">                                   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</w:p>
    <w:p w14:paraId="4522962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2C2D2EC3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</w:rPr>
      </w:pPr>
      <w:bookmarkStart w:id="0" w:name="_Toc24654"/>
      <w:bookmarkStart w:id="1" w:name="_Toc8253"/>
      <w:bookmarkStart w:id="2" w:name="_Toc3961"/>
      <w:bookmarkStart w:id="3" w:name="_Toc12273"/>
      <w:r>
        <w:rPr>
          <w:rFonts w:hint="eastAsia" w:ascii="仿宋" w:hAnsi="仿宋" w:eastAsia="仿宋" w:cs="仿宋"/>
          <w:b/>
          <w:sz w:val="24"/>
        </w:rPr>
        <w:t>一、项目概况</w:t>
      </w:r>
      <w:bookmarkEnd w:id="0"/>
      <w:bookmarkEnd w:id="1"/>
      <w:bookmarkEnd w:id="2"/>
      <w:bookmarkEnd w:id="3"/>
    </w:p>
    <w:p w14:paraId="26436E5A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1.项目名称：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             </w:t>
      </w:r>
      <w:r>
        <w:rPr>
          <w:rFonts w:hint="eastAsia" w:ascii="仿宋" w:hAnsi="仿宋" w:eastAsia="仿宋" w:cs="仿宋"/>
          <w:sz w:val="24"/>
        </w:rPr>
        <w:t>；</w:t>
      </w:r>
    </w:p>
    <w:p w14:paraId="2390FD2B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2.项目地点：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             </w:t>
      </w:r>
      <w:r>
        <w:rPr>
          <w:rFonts w:hint="eastAsia" w:ascii="仿宋" w:hAnsi="仿宋" w:eastAsia="仿宋" w:cs="仿宋"/>
          <w:sz w:val="24"/>
        </w:rPr>
        <w:t>；</w:t>
      </w:r>
    </w:p>
    <w:p w14:paraId="3D8577AD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4" w:name="_Toc19765"/>
      <w:bookmarkStart w:id="5" w:name="_Toc20644"/>
      <w:bookmarkStart w:id="6" w:name="_Toc24180"/>
      <w:bookmarkStart w:id="7" w:name="_Toc7460"/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二、组成本合同的文件</w:t>
      </w:r>
      <w:bookmarkEnd w:id="4"/>
      <w:bookmarkEnd w:id="5"/>
      <w:bookmarkEnd w:id="6"/>
      <w:bookmarkEnd w:id="7"/>
    </w:p>
    <w:p w14:paraId="2C7EBA0D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成交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通知书、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文件、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响应文件、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澄清函等文件；</w:t>
      </w:r>
    </w:p>
    <w:p w14:paraId="486D795A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2.本合同签订后，双方依法签订的补充协议。</w:t>
      </w:r>
    </w:p>
    <w:p w14:paraId="70BBF05D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</w:rPr>
      </w:pPr>
      <w:bookmarkStart w:id="8" w:name="_Toc15565"/>
      <w:bookmarkStart w:id="9" w:name="_Toc20296"/>
      <w:bookmarkStart w:id="10" w:name="_Toc7040"/>
      <w:bookmarkStart w:id="11" w:name="_Toc6332"/>
      <w:r>
        <w:rPr>
          <w:rFonts w:hint="eastAsia" w:ascii="仿宋" w:hAnsi="仿宋" w:eastAsia="仿宋" w:cs="仿宋"/>
          <w:b/>
          <w:sz w:val="24"/>
        </w:rPr>
        <w:t>三、合同金额</w:t>
      </w:r>
      <w:bookmarkEnd w:id="8"/>
      <w:bookmarkEnd w:id="9"/>
      <w:bookmarkEnd w:id="10"/>
      <w:bookmarkEnd w:id="11"/>
    </w:p>
    <w:p w14:paraId="214AB3AE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合同金额（大写）：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</w:rPr>
        <w:t>（¥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元</w:t>
      </w:r>
      <w:r>
        <w:rPr>
          <w:rFonts w:hint="eastAsia" w:ascii="仿宋" w:hAnsi="仿宋" w:eastAsia="仿宋" w:cs="仿宋"/>
          <w:sz w:val="24"/>
        </w:rPr>
        <w:t>）。</w:t>
      </w:r>
    </w:p>
    <w:p w14:paraId="4A3F6A27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合同价格为含税价，供应商提供服务所发生的一切费用等都已包含于合同价款中。</w:t>
      </w:r>
    </w:p>
    <w:p w14:paraId="43D60130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12" w:name="_Toc25097"/>
      <w:bookmarkStart w:id="13" w:name="_Toc15258"/>
      <w:bookmarkStart w:id="14" w:name="_Toc23403"/>
      <w:bookmarkStart w:id="15" w:name="_Toc12205"/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四、付款方式</w:t>
      </w:r>
      <w:bookmarkEnd w:id="12"/>
      <w:bookmarkEnd w:id="13"/>
      <w:bookmarkEnd w:id="14"/>
      <w:bookmarkEnd w:id="15"/>
    </w:p>
    <w:p w14:paraId="7231A048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16" w:name="_Toc24217"/>
      <w:bookmarkStart w:id="17" w:name="_Toc10035"/>
      <w:bookmarkStart w:id="18" w:name="_Toc26843"/>
      <w:bookmarkStart w:id="19" w:name="_Toc1205"/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（1）银行转账。</w:t>
      </w:r>
    </w:p>
    <w:p w14:paraId="7C36EC7B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支付约定：合同签订后15个工作日内完成项目部署且验收完成后支付本项目款90%，待系统平稳运行1年后支付剩余10%尾款。</w:t>
      </w:r>
    </w:p>
    <w:p w14:paraId="48E1C334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）合同签订后</w:t>
      </w:r>
      <w:r>
        <w:rPr>
          <w:rFonts w:hint="eastAsia" w:ascii="仿宋" w:hAnsi="仿宋" w:eastAsia="仿宋" w:cs="仿宋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甲方付款前供应商必须足额提供相应增值税发票给采购人。</w:t>
      </w:r>
    </w:p>
    <w:p w14:paraId="5FFE8669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乙方开户行：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062D7F7A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乙方户  名：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33438A45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乙方账  号：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4A37D77A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default" w:ascii="仿宋" w:hAnsi="仿宋" w:eastAsia="仿宋" w:cs="仿宋"/>
          <w:b/>
          <w:sz w:val="24"/>
          <w:u w:val="single"/>
          <w:lang w:val="en-US"/>
        </w:rPr>
      </w:pPr>
      <w:r>
        <w:rPr>
          <w:rFonts w:hint="eastAsia" w:ascii="仿宋" w:hAnsi="仿宋" w:eastAsia="仿宋" w:cs="仿宋"/>
          <w:b/>
          <w:kern w:val="2"/>
          <w:sz w:val="24"/>
          <w:szCs w:val="24"/>
          <w:lang w:val="en-US" w:eastAsia="zh-CN" w:bidi="ar-SA"/>
        </w:rPr>
        <w:t>五、</w:t>
      </w:r>
      <w:r>
        <w:rPr>
          <w:rFonts w:hint="eastAsia" w:ascii="仿宋" w:hAnsi="仿宋" w:eastAsia="仿宋" w:cs="仿宋"/>
          <w:b/>
          <w:sz w:val="24"/>
        </w:rPr>
        <w:t>服务期限</w:t>
      </w:r>
      <w:r>
        <w:rPr>
          <w:rFonts w:hint="eastAsia" w:ascii="仿宋" w:hAnsi="仿宋" w:eastAsia="仿宋" w:cs="仿宋"/>
          <w:b/>
          <w:sz w:val="24"/>
          <w:lang w:eastAsia="zh-CN"/>
        </w:rPr>
        <w:t>：</w:t>
      </w:r>
      <w:r>
        <w:rPr>
          <w:rFonts w:hint="eastAsia" w:ascii="仿宋" w:hAnsi="仿宋" w:eastAsia="仿宋" w:cs="仿宋"/>
          <w:b/>
          <w:sz w:val="24"/>
          <w:u w:val="single"/>
          <w:lang w:val="en-US" w:eastAsia="zh-CN"/>
        </w:rPr>
        <w:t xml:space="preserve">                       </w:t>
      </w:r>
    </w:p>
    <w:bookmarkEnd w:id="16"/>
    <w:bookmarkEnd w:id="17"/>
    <w:bookmarkEnd w:id="18"/>
    <w:bookmarkEnd w:id="19"/>
    <w:p w14:paraId="772218B3">
      <w:pPr>
        <w:keepNext w:val="0"/>
        <w:keepLines w:val="0"/>
        <w:pageBreakBefore w:val="0"/>
        <w:tabs>
          <w:tab w:val="left" w:pos="720"/>
          <w:tab w:val="left" w:pos="3780"/>
          <w:tab w:val="left" w:pos="6480"/>
        </w:tabs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ascii="仿宋" w:hAnsi="仿宋" w:eastAsia="仿宋" w:cs="仿宋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内容及要求</w:t>
      </w:r>
    </w:p>
    <w:p w14:paraId="7B84FD40">
      <w:pPr>
        <w:pStyle w:val="2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1．</w:t>
      </w:r>
      <w:r>
        <w:rPr>
          <w:rFonts w:hint="eastAsia" w:ascii="仿宋" w:hAnsi="仿宋" w:eastAsia="仿宋" w:cs="仿宋"/>
          <w:sz w:val="24"/>
          <w:szCs w:val="24"/>
        </w:rPr>
        <w:t>服务人员要求</w:t>
      </w:r>
    </w:p>
    <w:p w14:paraId="642F4FF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1.1 乙方应配备具有专业能力的服务人员。</w:t>
      </w:r>
    </w:p>
    <w:p w14:paraId="3C250E33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1.2 甲方有权要求乙方更换服务人员，但不能超过3人次。</w:t>
      </w:r>
    </w:p>
    <w:p w14:paraId="1B531B2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1.3 服务过程中，乙方有权更换相同级别人员，但不能影响服务质量，且整个服务过程中，更换人次不能超过3人次。</w:t>
      </w:r>
    </w:p>
    <w:p w14:paraId="123BC971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2.转委托要求</w:t>
      </w:r>
    </w:p>
    <w:p w14:paraId="658320F0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未经甲方同意，乙方不得将服务的全部或部分转由第三人承担。</w:t>
      </w:r>
    </w:p>
    <w:p w14:paraId="3E384F94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3.其他要求</w:t>
      </w:r>
    </w:p>
    <w:p w14:paraId="6BD2379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3.1 乙方服务应尽量满足项目目的，甲方在履行过程中提出的要求且乙方能够达到的，乙方应予以执行。</w:t>
      </w:r>
    </w:p>
    <w:p w14:paraId="06D5CA2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3.2 除双方约定的以外，乙方的服务同时应满足法律法规要求，满足行业操作规范，达到该领域专业企业的水准。</w:t>
      </w:r>
    </w:p>
    <w:p w14:paraId="383E8163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</w:rPr>
      </w:pPr>
      <w:bookmarkStart w:id="20" w:name="_Toc8837"/>
      <w:bookmarkStart w:id="21" w:name="_Toc11563"/>
      <w:bookmarkStart w:id="22" w:name="_Toc14609"/>
      <w:bookmarkStart w:id="23" w:name="_Toc11798"/>
      <w:r>
        <w:rPr>
          <w:rFonts w:hint="eastAsia" w:ascii="仿宋" w:hAnsi="仿宋" w:eastAsia="仿宋" w:cs="仿宋"/>
          <w:b/>
          <w:sz w:val="24"/>
        </w:rPr>
        <w:t>七、项目实施地点</w:t>
      </w:r>
      <w:bookmarkEnd w:id="20"/>
      <w:bookmarkEnd w:id="21"/>
      <w:bookmarkEnd w:id="22"/>
      <w:bookmarkEnd w:id="23"/>
    </w:p>
    <w:p w14:paraId="2EAB94E8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u w:val="single"/>
        </w:rPr>
        <w:t xml:space="preserve">甲方指定的地点       </w:t>
      </w:r>
    </w:p>
    <w:p w14:paraId="407CA93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八、双方的责任义务</w:t>
      </w:r>
    </w:p>
    <w:p w14:paraId="1C5D04D2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1.供应商服务内容应与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竞争性磋商文件、响应文件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及本合同所指明的服务内容相一致，确保本项目正常交付使用，并负责后期服务。</w:t>
      </w:r>
    </w:p>
    <w:p w14:paraId="25A558F7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2.采购人应按合同约定的付款方式向供应商支付相关费用。</w:t>
      </w:r>
    </w:p>
    <w:p w14:paraId="37A0B0D1">
      <w:pPr>
        <w:pStyle w:val="4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</w:rPr>
        <w:t>3.</w:t>
      </w:r>
      <w:r>
        <w:rPr>
          <w:rFonts w:hint="eastAsia" w:ascii="仿宋" w:hAnsi="仿宋" w:eastAsia="仿宋" w:cs="仿宋"/>
          <w:color w:val="000000"/>
        </w:rPr>
        <w:t>如需乙方提供现场支持服务的，甲方应当尽合理努力为乙方提供办公场所、网络等便利条件。</w:t>
      </w:r>
    </w:p>
    <w:p w14:paraId="4D65632E">
      <w:pPr>
        <w:pStyle w:val="4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4.乙方确认，甲乙双方不建立劳务派遣关系或类似关系，乙方应向其员工承担用人单位的全部责任。乙方应与其员工签署劳动合同，依法缴纳社会保险，对员工承担用人单位的全部法定责任。</w:t>
      </w:r>
    </w:p>
    <w:p w14:paraId="33A46D0E">
      <w:pPr>
        <w:pStyle w:val="4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5.甲方不对乙方员工承担任何用人单位或劳务派遣用工单位的责任。无论因任何原因导致甲方向乙方员工或雇员承担任何责任的，甲方有权向乙方追偿。</w:t>
      </w:r>
    </w:p>
    <w:p w14:paraId="40F7FF97">
      <w:pPr>
        <w:pStyle w:val="4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6.甲乙双方不构成代理关系，乙方不得以甲方名义对外签署或发布任何文件、制度等。</w:t>
      </w:r>
    </w:p>
    <w:p w14:paraId="22B3B1F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九、验收</w:t>
      </w:r>
    </w:p>
    <w:p w14:paraId="067891D1">
      <w:pPr>
        <w:pStyle w:val="4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（一）项目完工后，</w:t>
      </w:r>
      <w:r>
        <w:rPr>
          <w:rFonts w:hint="eastAsia" w:ascii="仿宋" w:hAnsi="仿宋" w:eastAsia="仿宋" w:cs="仿宋"/>
          <w:color w:val="000000"/>
          <w:lang w:val="en-US" w:eastAsia="zh-CN"/>
        </w:rPr>
        <w:t>乙方</w:t>
      </w:r>
      <w:r>
        <w:rPr>
          <w:rFonts w:hint="eastAsia" w:ascii="仿宋" w:hAnsi="仿宋" w:eastAsia="仿宋" w:cs="仿宋"/>
          <w:color w:val="000000"/>
        </w:rPr>
        <w:t>向</w:t>
      </w:r>
      <w:r>
        <w:rPr>
          <w:rFonts w:hint="eastAsia" w:ascii="仿宋" w:hAnsi="仿宋" w:eastAsia="仿宋" w:cs="仿宋"/>
          <w:color w:val="000000"/>
          <w:lang w:val="en-US" w:eastAsia="zh-CN"/>
        </w:rPr>
        <w:t>甲方</w:t>
      </w:r>
      <w:r>
        <w:rPr>
          <w:rFonts w:hint="eastAsia" w:ascii="仿宋" w:hAnsi="仿宋" w:eastAsia="仿宋" w:cs="仿宋"/>
          <w:color w:val="000000"/>
        </w:rPr>
        <w:t xml:space="preserve">提交验收申请。 </w:t>
      </w:r>
    </w:p>
    <w:p w14:paraId="43771503">
      <w:pPr>
        <w:pStyle w:val="4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（二）</w:t>
      </w:r>
      <w:r>
        <w:rPr>
          <w:rFonts w:hint="eastAsia" w:ascii="仿宋" w:hAnsi="仿宋" w:eastAsia="仿宋" w:cs="仿宋"/>
          <w:color w:val="000000"/>
          <w:lang w:val="en-US" w:eastAsia="zh-CN"/>
        </w:rPr>
        <w:t>甲方</w:t>
      </w:r>
      <w:r>
        <w:rPr>
          <w:rFonts w:hint="eastAsia" w:ascii="仿宋" w:hAnsi="仿宋" w:eastAsia="仿宋" w:cs="仿宋"/>
          <w:color w:val="000000"/>
        </w:rPr>
        <w:t>收到验收申请后组织验收，验收时</w:t>
      </w:r>
      <w:r>
        <w:rPr>
          <w:rFonts w:hint="eastAsia" w:ascii="仿宋" w:hAnsi="仿宋" w:eastAsia="仿宋" w:cs="仿宋"/>
          <w:color w:val="000000"/>
          <w:lang w:val="en-US" w:eastAsia="zh-CN"/>
        </w:rPr>
        <w:t>乙方</w:t>
      </w:r>
      <w:r>
        <w:rPr>
          <w:rFonts w:hint="eastAsia" w:ascii="仿宋" w:hAnsi="仿宋" w:eastAsia="仿宋" w:cs="仿宋"/>
          <w:color w:val="000000"/>
        </w:rPr>
        <w:t>应无条件予以配合并提供验收所需的全部资料，若</w:t>
      </w:r>
      <w:r>
        <w:rPr>
          <w:rFonts w:hint="eastAsia" w:ascii="仿宋" w:hAnsi="仿宋" w:eastAsia="仿宋" w:cs="仿宋"/>
          <w:color w:val="000000"/>
          <w:lang w:val="en-US" w:eastAsia="zh-CN"/>
        </w:rPr>
        <w:t>乙方</w:t>
      </w:r>
      <w:r>
        <w:rPr>
          <w:rFonts w:hint="eastAsia" w:ascii="仿宋" w:hAnsi="仿宋" w:eastAsia="仿宋" w:cs="仿宋"/>
          <w:color w:val="000000"/>
        </w:rPr>
        <w:t>不配合或者未按合同要求提供服务的，</w:t>
      </w:r>
      <w:r>
        <w:rPr>
          <w:rFonts w:hint="eastAsia" w:ascii="仿宋" w:hAnsi="仿宋" w:eastAsia="仿宋" w:cs="仿宋"/>
          <w:color w:val="000000"/>
          <w:lang w:val="en-US" w:eastAsia="zh-CN"/>
        </w:rPr>
        <w:t>甲方</w:t>
      </w:r>
      <w:r>
        <w:rPr>
          <w:rFonts w:hint="eastAsia" w:ascii="仿宋" w:hAnsi="仿宋" w:eastAsia="仿宋" w:cs="仿宋"/>
          <w:color w:val="000000"/>
        </w:rPr>
        <w:t xml:space="preserve">将拒绝验收。 </w:t>
      </w:r>
    </w:p>
    <w:p w14:paraId="774D2EF8">
      <w:pPr>
        <w:pStyle w:val="4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（三）验收依据</w:t>
      </w:r>
    </w:p>
    <w:p w14:paraId="3AA3054C">
      <w:pPr>
        <w:pStyle w:val="4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1、</w:t>
      </w:r>
      <w:r>
        <w:rPr>
          <w:rFonts w:hint="eastAsia" w:ascii="仿宋" w:hAnsi="仿宋" w:eastAsia="仿宋" w:cs="仿宋"/>
          <w:color w:val="000000"/>
          <w:lang w:val="en-US" w:eastAsia="zh-CN"/>
        </w:rPr>
        <w:t>磋商</w:t>
      </w:r>
      <w:r>
        <w:rPr>
          <w:rFonts w:hint="eastAsia" w:ascii="仿宋" w:hAnsi="仿宋" w:eastAsia="仿宋" w:cs="仿宋"/>
          <w:color w:val="000000"/>
        </w:rPr>
        <w:t>文件、</w:t>
      </w:r>
      <w:r>
        <w:rPr>
          <w:rFonts w:hint="eastAsia" w:ascii="仿宋" w:hAnsi="仿宋" w:eastAsia="仿宋" w:cs="仿宋"/>
          <w:color w:val="000000"/>
          <w:lang w:val="en-US" w:eastAsia="zh-CN"/>
        </w:rPr>
        <w:t>响应</w:t>
      </w:r>
      <w:r>
        <w:rPr>
          <w:rFonts w:hint="eastAsia" w:ascii="仿宋" w:hAnsi="仿宋" w:eastAsia="仿宋" w:cs="仿宋"/>
          <w:color w:val="000000"/>
        </w:rPr>
        <w:t>文件、澄清表（函）；</w:t>
      </w:r>
    </w:p>
    <w:p w14:paraId="23869A88">
      <w:pPr>
        <w:pStyle w:val="4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2、本</w:t>
      </w:r>
      <w:r>
        <w:rPr>
          <w:rFonts w:hint="eastAsia" w:ascii="仿宋" w:hAnsi="仿宋" w:eastAsia="仿宋" w:cs="仿宋"/>
          <w:color w:val="000000"/>
          <w:lang w:val="en-US" w:eastAsia="zh-CN"/>
        </w:rPr>
        <w:t>合同</w:t>
      </w:r>
      <w:r>
        <w:rPr>
          <w:rFonts w:hint="eastAsia" w:ascii="仿宋" w:hAnsi="仿宋" w:eastAsia="仿宋" w:cs="仿宋"/>
          <w:color w:val="000000"/>
        </w:rPr>
        <w:t>及附件文件；</w:t>
      </w:r>
    </w:p>
    <w:p w14:paraId="2047DF2F">
      <w:pPr>
        <w:pStyle w:val="4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3、国家相应的标准、规范。</w:t>
      </w:r>
    </w:p>
    <w:p w14:paraId="421997D5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</w:rPr>
      </w:pPr>
      <w:bookmarkStart w:id="24" w:name="_Toc10839"/>
      <w:bookmarkStart w:id="25" w:name="_Toc2016"/>
      <w:bookmarkStart w:id="26" w:name="_Toc5502"/>
      <w:bookmarkStart w:id="27" w:name="_Toc28951"/>
      <w:r>
        <w:rPr>
          <w:rFonts w:hint="eastAsia" w:ascii="仿宋" w:hAnsi="仿宋" w:eastAsia="仿宋" w:cs="仿宋"/>
          <w:b/>
          <w:sz w:val="24"/>
        </w:rPr>
        <w:t>十、保密</w:t>
      </w:r>
    </w:p>
    <w:p w14:paraId="531C1CA4">
      <w:pPr>
        <w:keepNext w:val="0"/>
        <w:keepLines w:val="0"/>
        <w:pageBreakBefore w:val="0"/>
        <w:tabs>
          <w:tab w:val="left" w:pos="1080"/>
        </w:tabs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对工作中了解到的采购人的技术、机密等进行严格保密，不得向他人泄漏。本合同的解除或终止不免除供应商应承担的保密义务。</w:t>
      </w:r>
    </w:p>
    <w:p w14:paraId="1288CF53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十一、知识产权</w:t>
      </w:r>
    </w:p>
    <w:p w14:paraId="49EC8C5D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供应商应对所供产品具有或已取得合法知识产权，供应商应保证所供产品及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，给采购人造成损失的，由供应商一并赔偿。</w:t>
      </w:r>
    </w:p>
    <w:p w14:paraId="4854252D">
      <w:pPr>
        <w:pStyle w:val="4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szCs w:val="24"/>
        </w:rPr>
      </w:pPr>
      <w:r>
        <w:rPr>
          <w:rFonts w:hint="eastAsia" w:ascii="仿宋" w:hAnsi="仿宋" w:eastAsia="仿宋" w:cs="仿宋"/>
          <w:szCs w:val="24"/>
        </w:rPr>
        <w:t>2.</w:t>
      </w:r>
      <w:r>
        <w:rPr>
          <w:rFonts w:hint="eastAsia" w:ascii="仿宋" w:hAnsi="仿宋" w:eastAsia="仿宋" w:cs="仿宋"/>
          <w:color w:val="000000"/>
          <w:szCs w:val="24"/>
        </w:rPr>
        <w:t>本合同履行过程中，甲方向乙方及乙方人员提供的信息、材料、技术等知识产权仍归甲方所有；本合同的签订与履行不代表甲方对乙方的知识产权转让和许可，乙方仅可出于为甲方提供服务之目的而使用。</w:t>
      </w:r>
    </w:p>
    <w:p w14:paraId="35E04096">
      <w:pPr>
        <w:keepNext w:val="0"/>
        <w:keepLines w:val="0"/>
        <w:pageBreakBefore w:val="0"/>
        <w:tabs>
          <w:tab w:val="left" w:pos="498"/>
        </w:tabs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十二、合同争议的解决</w:t>
      </w:r>
      <w:bookmarkEnd w:id="24"/>
      <w:bookmarkEnd w:id="25"/>
      <w:bookmarkEnd w:id="26"/>
      <w:bookmarkEnd w:id="27"/>
    </w:p>
    <w:p w14:paraId="662A82C5">
      <w:pPr>
        <w:keepNext w:val="0"/>
        <w:keepLines w:val="0"/>
        <w:pageBreakBefore w:val="0"/>
        <w:tabs>
          <w:tab w:val="left" w:pos="498"/>
        </w:tabs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</w:rPr>
      </w:pPr>
      <w:bookmarkStart w:id="28" w:name="_Toc10407"/>
      <w:bookmarkStart w:id="29" w:name="_Toc23875"/>
      <w:bookmarkStart w:id="30" w:name="_Toc4195"/>
      <w:bookmarkStart w:id="31" w:name="_Toc30951"/>
      <w:r>
        <w:rPr>
          <w:rFonts w:hint="eastAsia" w:ascii="仿宋" w:hAnsi="仿宋" w:eastAsia="仿宋" w:cs="仿宋"/>
          <w:sz w:val="24"/>
        </w:rPr>
        <w:t>合同执行中发生争议的，当事人双方应协商解决，协商达不成一致时，可向采购人所在地人民法院提请诉讼。</w:t>
      </w:r>
      <w:bookmarkEnd w:id="28"/>
      <w:bookmarkEnd w:id="29"/>
      <w:bookmarkEnd w:id="30"/>
      <w:bookmarkEnd w:id="31"/>
    </w:p>
    <w:p w14:paraId="3203F58B">
      <w:pPr>
        <w:keepNext w:val="0"/>
        <w:keepLines w:val="0"/>
        <w:pageBreakBefore w:val="0"/>
        <w:tabs>
          <w:tab w:val="left" w:pos="498"/>
        </w:tabs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32" w:name="_Toc9278"/>
      <w:bookmarkStart w:id="33" w:name="_Toc8978"/>
      <w:bookmarkStart w:id="34" w:name="_Toc31489"/>
      <w:bookmarkStart w:id="35" w:name="_Toc9175"/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十三、不可抗力情况下的免责约定</w:t>
      </w:r>
      <w:bookmarkEnd w:id="32"/>
      <w:bookmarkEnd w:id="33"/>
      <w:bookmarkEnd w:id="34"/>
      <w:bookmarkEnd w:id="35"/>
    </w:p>
    <w:p w14:paraId="72F1F1E5">
      <w:pPr>
        <w:keepNext w:val="0"/>
        <w:keepLines w:val="0"/>
        <w:pageBreakBefore w:val="0"/>
        <w:tabs>
          <w:tab w:val="left" w:pos="498"/>
        </w:tabs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双方约定在以下不可抗力情况下互不承担责任，共同协商解决。双方不可预见、不可避免、不可克服的客观情况，但不包括双方的违约或疏忽，这些事件包括但不限于：战争、严重火灾、洪水、台风、地震等。</w:t>
      </w:r>
    </w:p>
    <w:p w14:paraId="0FBF964D">
      <w:pPr>
        <w:keepNext w:val="0"/>
        <w:keepLines w:val="0"/>
        <w:pageBreakBefore w:val="0"/>
        <w:tabs>
          <w:tab w:val="left" w:pos="498"/>
        </w:tabs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十四、终止合同</w:t>
      </w:r>
    </w:p>
    <w:p w14:paraId="6650ABDB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bookmarkStart w:id="36" w:name="_Toc21549"/>
      <w:bookmarkStart w:id="37" w:name="_Toc14819"/>
      <w:bookmarkStart w:id="38" w:name="_Toc21744"/>
      <w:bookmarkStart w:id="39" w:name="_Toc5406"/>
      <w:r>
        <w:rPr>
          <w:rFonts w:hint="eastAsia" w:ascii="仿宋" w:hAnsi="仿宋" w:eastAsia="仿宋" w:cs="仿宋"/>
          <w:sz w:val="24"/>
        </w:rPr>
        <w:t>除本合同约定，合同一经签订，不得擅自变更、中止或者终止合同。对确需变更、调整或者中止、终止合同的，应按规定履行相应的手续。</w:t>
      </w:r>
      <w:bookmarkEnd w:id="36"/>
      <w:bookmarkEnd w:id="37"/>
      <w:bookmarkEnd w:id="38"/>
      <w:bookmarkEnd w:id="39"/>
    </w:p>
    <w:p w14:paraId="014CB8D1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40" w:name="_Toc3221"/>
      <w:bookmarkStart w:id="41" w:name="_Toc15052"/>
      <w:bookmarkStart w:id="42" w:name="_Toc30688"/>
      <w:bookmarkStart w:id="43" w:name="_Toc9263"/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十五、违约责任</w:t>
      </w:r>
      <w:bookmarkEnd w:id="40"/>
      <w:bookmarkEnd w:id="41"/>
      <w:bookmarkEnd w:id="42"/>
      <w:bookmarkEnd w:id="43"/>
    </w:p>
    <w:p w14:paraId="6418B62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44" w:name="_Toc22455"/>
      <w:bookmarkStart w:id="45" w:name="_Toc11556"/>
      <w:bookmarkStart w:id="46" w:name="_Toc30063"/>
      <w:bookmarkStart w:id="47" w:name="_Toc7557"/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1.按《中华人民共和国民法典》中的相关条款和本合同的约定执行。</w:t>
      </w:r>
      <w:bookmarkEnd w:id="44"/>
      <w:bookmarkEnd w:id="45"/>
      <w:bookmarkEnd w:id="46"/>
      <w:bookmarkEnd w:id="47"/>
    </w:p>
    <w:p w14:paraId="58492B68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2.未按合同</w:t>
      </w:r>
      <w:r>
        <w:rPr>
          <w:rFonts w:hint="eastAsia" w:ascii="仿宋" w:hAnsi="仿宋" w:eastAsia="仿宋" w:cs="仿宋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响应文件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要求提供产品、服务，或供应的产品、服务质量不能满足采购人技术要求，经书面告知在合理期限内整改但仍不予调整的，采购人有权终止合同，甚至对供应商违约行为进行追究。</w:t>
      </w:r>
    </w:p>
    <w:p w14:paraId="0F07D421">
      <w:pPr>
        <w:pStyle w:val="4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szCs w:val="24"/>
        </w:rPr>
      </w:pPr>
      <w:r>
        <w:rPr>
          <w:rFonts w:hint="eastAsia" w:ascii="仿宋" w:hAnsi="仿宋" w:eastAsia="仿宋" w:cs="仿宋"/>
          <w:szCs w:val="24"/>
        </w:rPr>
        <w:t>3.</w:t>
      </w:r>
      <w:r>
        <w:rPr>
          <w:rFonts w:hint="eastAsia" w:ascii="仿宋" w:hAnsi="仿宋" w:eastAsia="仿宋" w:cs="仿宋"/>
          <w:color w:val="000000"/>
          <w:szCs w:val="24"/>
        </w:rPr>
        <w:t xml:space="preserve"> 任何一方有其他违反本合同情形的，应赔偿守约方全部损失，该损失包括但不限于对守约方所造成的直接损失、可得利益损失、守约方支付给第三方的赔偿费用/违约金/罚款、调查取证费用/公证费、诉讼费用、律师费用以及因此而支付的其他合理费用。</w:t>
      </w:r>
    </w:p>
    <w:p w14:paraId="3BA4274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十六、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反商业贿赂</w:t>
      </w:r>
    </w:p>
    <w:p w14:paraId="505183FC">
      <w:pPr>
        <w:pStyle w:val="4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szCs w:val="24"/>
        </w:rPr>
      </w:pPr>
      <w:r>
        <w:rPr>
          <w:rFonts w:hint="eastAsia" w:ascii="仿宋" w:hAnsi="仿宋" w:eastAsia="仿宋" w:cs="仿宋"/>
          <w:color w:val="000000"/>
          <w:szCs w:val="24"/>
        </w:rPr>
        <w:t>双方均不得向对方或对方经办人、工作人员或其他相关人员索要、收受、提供、给予合同约定外的任何利益，包括但不限于明扣、暗扣、现金、购物卡、实物、有价证券、旅游或其他非物质性利益等，否则构成重大违约。如该等利益属于行业惯例或通常做法，则须在本合同中明示，否则亦为重大违约。</w:t>
      </w:r>
    </w:p>
    <w:p w14:paraId="0C6F2C89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48" w:name="_Toc30221"/>
      <w:bookmarkStart w:id="49" w:name="_Toc18504"/>
      <w:bookmarkStart w:id="50" w:name="_Toc17133"/>
      <w:bookmarkStart w:id="51" w:name="_Toc22900"/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十七、</w:t>
      </w:r>
      <w:bookmarkEnd w:id="48"/>
      <w:bookmarkEnd w:id="49"/>
      <w:bookmarkEnd w:id="50"/>
      <w:bookmarkEnd w:id="51"/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其他</w:t>
      </w:r>
    </w:p>
    <w:p w14:paraId="1FD96F60">
      <w:pPr>
        <w:keepNext w:val="0"/>
        <w:keepLines w:val="0"/>
        <w:pageBreakBefore w:val="0"/>
        <w:tabs>
          <w:tab w:val="left" w:pos="980"/>
        </w:tabs>
        <w:kinsoku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1.本合同一式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份，具有同等法律效力，双方各执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份，监管部门备案壹份、采购代理机构存档壹份。各方签字盖章后生效。</w:t>
      </w:r>
    </w:p>
    <w:p w14:paraId="43650A67">
      <w:pPr>
        <w:pStyle w:val="3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620" w:firstLineChars="200"/>
        <w:textAlignment w:val="auto"/>
        <w:rPr>
          <w:rFonts w:hint="eastAsia" w:ascii="仿宋" w:hAnsi="仿宋" w:eastAsia="仿宋" w:cs="仿宋"/>
        </w:rPr>
      </w:pPr>
    </w:p>
    <w:p w14:paraId="276CA988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采购人（甲方）：</w:t>
      </w:r>
      <w:r>
        <w:rPr>
          <w:rFonts w:hint="eastAsia" w:ascii="仿宋" w:hAnsi="仿宋" w:eastAsia="仿宋" w:cs="仿宋"/>
          <w:sz w:val="24"/>
          <w:u w:val="single"/>
        </w:rPr>
        <w:t xml:space="preserve">   （盖章） </w:t>
      </w:r>
      <w:r>
        <w:rPr>
          <w:rFonts w:hint="eastAsia" w:ascii="仿宋" w:hAnsi="仿宋" w:eastAsia="仿宋" w:cs="仿宋"/>
          <w:sz w:val="24"/>
        </w:rPr>
        <w:t xml:space="preserve">        供应商（乙方）：</w:t>
      </w:r>
      <w:r>
        <w:rPr>
          <w:rFonts w:hint="eastAsia" w:ascii="仿宋" w:hAnsi="仿宋" w:eastAsia="仿宋" w:cs="仿宋"/>
          <w:sz w:val="24"/>
          <w:u w:val="single"/>
        </w:rPr>
        <w:t xml:space="preserve">   （盖章）         </w:t>
      </w:r>
    </w:p>
    <w:p w14:paraId="0A72A014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地址：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 xml:space="preserve">        地址：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</w:p>
    <w:p w14:paraId="7D170519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法定代表人或授权代理人              法定代表人或授权代理人 </w:t>
      </w:r>
    </w:p>
    <w:p w14:paraId="1D1AE56E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（签字或盖章）：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</w:rPr>
        <w:t xml:space="preserve">        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</w:rPr>
        <w:t xml:space="preserve">  </w:t>
      </w:r>
    </w:p>
    <w:p w14:paraId="224F4D98">
      <w:pPr>
        <w:ind w:firstLine="480" w:firstLineChars="200"/>
      </w:pPr>
      <w:bookmarkStart w:id="52" w:name="_GoBack"/>
      <w:bookmarkEnd w:id="52"/>
      <w:r>
        <w:rPr>
          <w:rFonts w:hint="eastAsia" w:ascii="仿宋" w:hAnsi="仿宋" w:eastAsia="仿宋" w:cs="仿宋"/>
          <w:sz w:val="24"/>
        </w:rPr>
        <w:t xml:space="preserve">订立时间： 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日          订立时间：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570F58"/>
    <w:rsid w:val="6457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2025-10-27T02:44:00Z</dcterms:created>
  <dc:creator>德仁招标</dc:creator>
  <cp:lastModifiedBy>德仁招标</cp:lastModifiedBy>
  <dcterms:modified xsi:type="dcterms:W3CDTF">2025-10-27T02:44:50Z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0C288BB2274A4532AAD6CEC8585BD651_11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