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版本号：THXZB2025-107620251028001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2025第二届非遗文创设计大赛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THXZB2025-1076</w:t>
      </w:r>
      <w:r>
        <w:br/>
      </w:r>
      <w:r>
        <w:br/>
      </w:r>
      <w:r>
        <w:br/>
      </w:r>
    </w:p>
    <w:p>
      <w:pPr>
        <w:pStyle w:val="null3"/>
        <w:jc w:val="center"/>
        <w:outlineLvl w:val="2"/>
      </w:pPr>
      <w:r>
        <w:rPr>
          <w:rFonts w:ascii="仿宋_GB2312" w:hAnsi="仿宋_GB2312" w:cs="仿宋_GB2312" w:eastAsia="仿宋_GB2312"/>
          <w:sz w:val="28"/>
          <w:b/>
        </w:rPr>
        <w:t>陕西省文化馆</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陕西省文化馆</w:t>
      </w:r>
      <w:r>
        <w:rPr>
          <w:rFonts w:ascii="仿宋_GB2312" w:hAnsi="仿宋_GB2312" w:cs="仿宋_GB2312" w:eastAsia="仿宋_GB2312"/>
        </w:rPr>
        <w:t>委托，拟对</w:t>
      </w:r>
      <w:r>
        <w:rPr>
          <w:rFonts w:ascii="仿宋_GB2312" w:hAnsi="仿宋_GB2312" w:cs="仿宋_GB2312" w:eastAsia="仿宋_GB2312"/>
        </w:rPr>
        <w:t>2025第二届非遗文创设计大赛</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2025第二届非遗文创设计大赛</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举办第二届“传承非遗 创意陕西”非遗文创设计大赛。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采购包1（2025第二届非遗文创设计大赛）：属于专门面向中小企业采购。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日网上查询结果为评审依据）</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西安市西七路279号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13991129290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陕西省文化馆</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采购文件的质量要求和技术指标、成交供应商的投标文件及承诺与本合同约定标准进行验收;采购方与成交供应商双方如对质量要求和技术指标的约定标准有相互抵触或异议的事项，由采购方在采购文件及投标文件中按 质量要求和技术指标比较优胜的原则确定该项的约定标准进行验收。 供应商完成全部工作量并提交工作成果，经采购方初验后，由采购方自行组织人员进行验收，地点在采购方指定地点现场，费用由成交供应商承担。如未通过验收，成交供应商将限期无条件对验收组提出的问题进行整改，直至验收通过为止，其产生的所有费用由成交供应商全部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联系电话：02988210791-811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举办第二届“传承非遗 创意陕西”非遗文创设计大赛。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文创设计大赛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标的名称：文创设计大赛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服务内容</w:t>
            </w:r>
          </w:p>
          <w:p>
            <w:pPr>
              <w:pStyle w:val="null3"/>
              <w:spacing w:before="135"/>
              <w:ind w:left="570"/>
              <w:jc w:val="both"/>
            </w:pPr>
            <w:r>
              <w:rPr>
                <w:rFonts w:ascii="仿宋_GB2312" w:hAnsi="仿宋_GB2312" w:cs="仿宋_GB2312" w:eastAsia="仿宋_GB2312"/>
                <w:sz w:val="28"/>
              </w:rPr>
              <w:t>服务内容及要求</w:t>
            </w:r>
          </w:p>
          <w:p>
            <w:pPr>
              <w:pStyle w:val="null3"/>
              <w:spacing w:before="135"/>
              <w:ind w:left="570"/>
              <w:jc w:val="both"/>
            </w:pPr>
            <w:r>
              <w:rPr>
                <w:rFonts w:ascii="仿宋_GB2312" w:hAnsi="仿宋_GB2312" w:cs="仿宋_GB2312" w:eastAsia="仿宋_GB2312"/>
                <w:sz w:val="28"/>
                <w:b/>
              </w:rPr>
              <w:t>1.大赛整体方案策划筹备、参赛作品征集</w:t>
            </w:r>
            <w:r>
              <w:rPr>
                <w:rFonts w:ascii="仿宋_GB2312" w:hAnsi="仿宋_GB2312" w:cs="仿宋_GB2312" w:eastAsia="仿宋_GB2312"/>
                <w:sz w:val="28"/>
                <w:b/>
              </w:rPr>
              <w:t>及整体服务</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1）拟制大赛整体方案，包括但不限于赛道方案、评选方案、奖励机制、主题活动、</w:t>
            </w:r>
            <w:r>
              <w:rPr>
                <w:rFonts w:ascii="仿宋_GB2312" w:hAnsi="仿宋_GB2312" w:cs="仿宋_GB2312" w:eastAsia="仿宋_GB2312"/>
                <w:sz w:val="20"/>
              </w:rPr>
              <w:t>作品展览</w:t>
            </w:r>
            <w:r>
              <w:rPr>
                <w:rFonts w:ascii="仿宋_GB2312" w:hAnsi="仿宋_GB2312" w:cs="仿宋_GB2312" w:eastAsia="仿宋_GB2312"/>
                <w:sz w:val="20"/>
              </w:rPr>
              <w:t>内容、安全保障方案、应急预案等。</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）拟定细化的工作方案及现场实施方案，工作方案包含大赛主题、赛道设置</w:t>
            </w:r>
            <w:r>
              <w:rPr>
                <w:rFonts w:ascii="仿宋_GB2312" w:hAnsi="仿宋_GB2312" w:cs="仿宋_GB2312" w:eastAsia="仿宋_GB2312"/>
                <w:sz w:val="20"/>
              </w:rPr>
              <w:t>、</w:t>
            </w:r>
            <w:r>
              <w:rPr>
                <w:rFonts w:ascii="仿宋_GB2312" w:hAnsi="仿宋_GB2312" w:cs="仿宋_GB2312" w:eastAsia="仿宋_GB2312"/>
                <w:sz w:val="20"/>
              </w:rPr>
              <w:t>工作流程等</w:t>
            </w:r>
            <w:r>
              <w:rPr>
                <w:rFonts w:ascii="仿宋_GB2312" w:hAnsi="仿宋_GB2312" w:cs="仿宋_GB2312" w:eastAsia="仿宋_GB2312"/>
                <w:sz w:val="20"/>
              </w:rPr>
              <w:t>，</w:t>
            </w:r>
            <w:r>
              <w:rPr>
                <w:rFonts w:ascii="仿宋_GB2312" w:hAnsi="仿宋_GB2312" w:cs="仿宋_GB2312" w:eastAsia="仿宋_GB2312"/>
                <w:sz w:val="20"/>
              </w:rPr>
              <w:t>现场实施方案需列明大赛相关保障措施</w:t>
            </w:r>
            <w:r>
              <w:rPr>
                <w:rFonts w:ascii="仿宋_GB2312" w:hAnsi="仿宋_GB2312" w:cs="仿宋_GB2312" w:eastAsia="仿宋_GB2312"/>
                <w:sz w:val="20"/>
              </w:rPr>
              <w:t>等。</w:t>
            </w:r>
          </w:p>
          <w:p>
            <w:pPr>
              <w:pStyle w:val="null3"/>
              <w:spacing w:before="150"/>
              <w:ind w:left="555"/>
              <w:jc w:val="both"/>
            </w:pPr>
            <w:r>
              <w:rPr>
                <w:rFonts w:ascii="仿宋_GB2312" w:hAnsi="仿宋_GB2312" w:cs="仿宋_GB2312" w:eastAsia="仿宋_GB2312"/>
                <w:sz w:val="28"/>
                <w:b/>
              </w:rPr>
              <w:t>2.组织参赛报名和作品征集工作</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1）负责大赛报名阶段的策划、组织、执行，以及保障工作。</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2）负责参赛作品汇总整理，负责参赛作品征集通道搭建，专题页面设计与技术搭建。</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3）确保提供多种渠道的报名方式，做好参赛选手的沟通、联系、 管理工作。</w:t>
            </w:r>
          </w:p>
          <w:p>
            <w:pPr>
              <w:pStyle w:val="null3"/>
              <w:spacing w:before="150"/>
              <w:ind w:left="555"/>
              <w:jc w:val="both"/>
            </w:pPr>
            <w:r>
              <w:rPr>
                <w:rFonts w:ascii="仿宋_GB2312" w:hAnsi="仿宋_GB2312" w:cs="仿宋_GB2312" w:eastAsia="仿宋_GB2312"/>
                <w:sz w:val="28"/>
                <w:b/>
              </w:rPr>
              <w:t>3.组织和实施大赛评审工作</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1）负责制定大赛评审模式及评审流程，邀请相关领导、专家、 学者参与评审工作，组建大赛的评审专家团。</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2）负责组织专家讨论评审办法。</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3）负责大赛专家评审阶段的策划、组织、执行，包含大赛初赛评审、复赛评审等评审环节。</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）负责完成获奖项目公示工作。</w:t>
            </w:r>
          </w:p>
          <w:p>
            <w:pPr>
              <w:pStyle w:val="null3"/>
              <w:spacing w:before="150"/>
              <w:ind w:left="555"/>
              <w:jc w:val="both"/>
            </w:pPr>
            <w:r>
              <w:rPr>
                <w:rFonts w:ascii="仿宋_GB2312" w:hAnsi="仿宋_GB2312" w:cs="仿宋_GB2312" w:eastAsia="仿宋_GB2312"/>
                <w:sz w:val="28"/>
                <w:b/>
              </w:rPr>
              <w:t>4</w:t>
            </w:r>
            <w:r>
              <w:rPr>
                <w:rFonts w:ascii="仿宋_GB2312" w:hAnsi="仿宋_GB2312" w:cs="仿宋_GB2312" w:eastAsia="仿宋_GB2312"/>
                <w:sz w:val="28"/>
                <w:b/>
              </w:rPr>
              <w:t>.大赛</w:t>
            </w:r>
            <w:r>
              <w:rPr>
                <w:rFonts w:ascii="仿宋_GB2312" w:hAnsi="仿宋_GB2312" w:cs="仿宋_GB2312" w:eastAsia="仿宋_GB2312"/>
                <w:sz w:val="28"/>
                <w:b/>
              </w:rPr>
              <w:t>作品</w:t>
            </w:r>
            <w:r>
              <w:rPr>
                <w:rFonts w:ascii="仿宋_GB2312" w:hAnsi="仿宋_GB2312" w:cs="仿宋_GB2312" w:eastAsia="仿宋_GB2312"/>
                <w:sz w:val="28"/>
                <w:b/>
              </w:rPr>
              <w:t>展示</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1）策划组织大赛</w:t>
            </w:r>
            <w:r>
              <w:rPr>
                <w:rFonts w:ascii="仿宋_GB2312" w:hAnsi="仿宋_GB2312" w:cs="仿宋_GB2312" w:eastAsia="仿宋_GB2312"/>
                <w:sz w:val="20"/>
              </w:rPr>
              <w:t>作品展览</w:t>
            </w:r>
            <w:r>
              <w:rPr>
                <w:rFonts w:ascii="仿宋_GB2312" w:hAnsi="仿宋_GB2312" w:cs="仿宋_GB2312" w:eastAsia="仿宋_GB2312"/>
                <w:sz w:val="20"/>
              </w:rPr>
              <w:t>展、提供成果转化服务，推进大赛成果</w:t>
            </w:r>
            <w:r>
              <w:rPr>
                <w:rFonts w:ascii="仿宋_GB2312" w:hAnsi="仿宋_GB2312" w:cs="仿宋_GB2312" w:eastAsia="仿宋_GB2312"/>
                <w:sz w:val="20"/>
              </w:rPr>
              <w:t>落地。</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2）负责搭建</w:t>
            </w:r>
            <w:r>
              <w:rPr>
                <w:rFonts w:ascii="仿宋_GB2312" w:hAnsi="仿宋_GB2312" w:cs="仿宋_GB2312" w:eastAsia="仿宋_GB2312"/>
                <w:sz w:val="20"/>
              </w:rPr>
              <w:t>组织参赛作品的线下展览活动。</w:t>
            </w:r>
          </w:p>
          <w:p>
            <w:pPr>
              <w:pStyle w:val="null3"/>
              <w:spacing w:before="135"/>
              <w:ind w:left="555"/>
              <w:jc w:val="both"/>
            </w:pPr>
            <w:r>
              <w:rPr>
                <w:rFonts w:ascii="仿宋_GB2312" w:hAnsi="仿宋_GB2312" w:cs="仿宋_GB2312" w:eastAsia="仿宋_GB2312"/>
                <w:sz w:val="28"/>
                <w:b/>
              </w:rPr>
              <w:t>5</w:t>
            </w:r>
            <w:r>
              <w:rPr>
                <w:rFonts w:ascii="仿宋_GB2312" w:hAnsi="仿宋_GB2312" w:cs="仿宋_GB2312" w:eastAsia="仿宋_GB2312"/>
                <w:sz w:val="28"/>
                <w:b/>
              </w:rPr>
              <w:t>.大赛宣传推广</w:t>
            </w:r>
          </w:p>
          <w:p>
            <w:pPr>
              <w:pStyle w:val="null3"/>
              <w:spacing w:before="135"/>
              <w:ind w:right="90" w:firstLine="558"/>
              <w:jc w:val="both"/>
            </w:pPr>
            <w:r>
              <w:rPr>
                <w:rFonts w:ascii="仿宋_GB2312" w:hAnsi="仿宋_GB2312" w:cs="仿宋_GB2312" w:eastAsia="仿宋_GB2312"/>
                <w:sz w:val="20"/>
              </w:rPr>
              <w:t>（</w:t>
            </w:r>
            <w:r>
              <w:rPr>
                <w:rFonts w:ascii="仿宋_GB2312" w:hAnsi="仿宋_GB2312" w:cs="仿宋_GB2312" w:eastAsia="仿宋_GB2312"/>
                <w:sz w:val="20"/>
              </w:rPr>
              <w:t>1）负责制定有效的大赛宣传推广方案并执行，充分展示社会公 众对大赛的参与和大赛成果。</w:t>
            </w:r>
          </w:p>
          <w:p>
            <w:pPr>
              <w:pStyle w:val="null3"/>
              <w:spacing w:before="135"/>
              <w:ind w:right="15" w:firstLine="562"/>
              <w:jc w:val="both"/>
            </w:pPr>
            <w:r>
              <w:rPr>
                <w:rFonts w:ascii="仿宋_GB2312" w:hAnsi="仿宋_GB2312" w:cs="仿宋_GB2312" w:eastAsia="仿宋_GB2312"/>
                <w:sz w:val="20"/>
              </w:rPr>
              <w:t>（</w:t>
            </w:r>
            <w:r>
              <w:rPr>
                <w:rFonts w:ascii="仿宋_GB2312" w:hAnsi="仿宋_GB2312" w:cs="仿宋_GB2312" w:eastAsia="仿宋_GB2312"/>
                <w:sz w:val="20"/>
              </w:rPr>
              <w:t>2）提供媒体服务，开展媒体日常联络、记者邀请、素材服务、 新闻发布和采访组织等工作。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3）通过传统媒体和新媒体多渠道多形式对大赛各阶段活动进行 报道；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2025年12月20日前完成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项目整体完成且验收合格后5个工作日内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1.甲乙双方必须遵守本合同并执行合同中的各项规定，保证本合同的正常履行。如有未尽事宜，由双方依法订立补充合同。 2.如因供应商工作人员在履行职务过程中的的疏忽、失职、过错等故意或者过失原因给采购方造成损失或侵害，包括但不限于采购方本身的财产损失、由此而导致的采购方对任何第三方的法律责任等，供应商对此均应承担全部的赔偿责任。解决合同纠纷的方式： 1.在执行本合同中发生的或与本合同有关的争端，双方应通过友好协商解决，经协商在30天内不能达成协议时，应向西安仲裁委员会提请仲裁。 2.诉讼费、律师费等应由败诉方负担。 3.在诉讼期间，除正在进行诉讼部分外，合同其他部分继续执行。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1、本项目所属行业为：其他未列明行业。（按照《工信部 国家统计局 发改委 财政部 工信部联企业》中小企业划型标准（〔2011〕300号）规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落实政府采购要求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②《财政部司法部关于政府采购支持监狱企业发展有关问题的通知》(财库(2014)68号); ③《三部门联合发布关于促进残疾人就业政府采购政策的通知》(财库(2017)141号); ④《财政部 发展改革委生态环境部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w:t>
            </w:r>
          </w:p>
        </w:tc>
        <w:tc>
          <w:tcPr>
            <w:tcW w:type="dxa" w:w="1661"/>
          </w:tcPr>
          <w:p>
            <w:pPr>
              <w:pStyle w:val="null3"/>
            </w:pPr>
            <w:r>
              <w:rPr>
                <w:rFonts w:ascii="仿宋_GB2312" w:hAnsi="仿宋_GB2312" w:cs="仿宋_GB2312" w:eastAsia="仿宋_GB2312"/>
              </w:rPr>
              <w:t>中小企业声明函 残疾人福利性单位声明函 供应商需要加以说明的其他内容.docx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响应函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服务技术指标偏差表.docx 响应文件封面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服务技术指标偏差表.docx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供应商需要加以说明的其他内容.docx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实际需求提供实施方案。内容包含：①活动策划、版块划分、形式制定方案；②具体赛事安排执行方案；③作品展览方案；④奖项设置方案；分。（1）每有一项内容进行了详细阐述且完全满足项目需求的，得5分； （2）每有一项内容进行了阐述且基本满足项目需求的，得4分； （3）每有一项内容进行了阐述但并未完全满足项目需求，或内容未包括细节或措施的，得3分； （4）每有一项内容阐述内容无法满足项目需求的，得2分。（5）未阐述不得分。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磋商响应方案-实施方案.docx</w:t>
            </w:r>
          </w:p>
        </w:tc>
      </w:tr>
      <w:tr>
        <w:tc>
          <w:tcPr>
            <w:tcW w:type="dxa" w:w="831"/>
            <w:vMerge/>
          </w:tcPr>
          <w:p/>
        </w:tc>
        <w:tc>
          <w:tcPr>
            <w:tcW w:type="dxa" w:w="1661"/>
          </w:tcPr>
          <w:p>
            <w:pPr>
              <w:pStyle w:val="null3"/>
            </w:pPr>
            <w:r>
              <w:rPr>
                <w:rFonts w:ascii="仿宋_GB2312" w:hAnsi="仿宋_GB2312" w:cs="仿宋_GB2312" w:eastAsia="仿宋_GB2312"/>
              </w:rPr>
              <w:t>总体方案及合理化建议</w:t>
            </w:r>
          </w:p>
        </w:tc>
        <w:tc>
          <w:tcPr>
            <w:tcW w:type="dxa" w:w="2492"/>
          </w:tcPr>
          <w:p>
            <w:pPr>
              <w:pStyle w:val="null3"/>
            </w:pPr>
            <w:r>
              <w:rPr>
                <w:rFonts w:ascii="仿宋_GB2312" w:hAnsi="仿宋_GB2312" w:cs="仿宋_GB2312" w:eastAsia="仿宋_GB2312"/>
              </w:rPr>
              <w:t>根据项目实际情况制定总体方案以及提出合理化建议。内容包含：①对项目背景、目标的分析；②对项目工作重点、难点的分析；③围绕本项目主题活动，整合行业资源， 充分体现活动特点；④对活动程序、活动内容、步骤方案能够明确的。 （1）每有一项内容进行了详细阐述且完全满足项目需求的，得4.5分； （2）每有一项内容进行了阐述且基本满足项目需求的，得3.5分； （3）每有一项内容进行了阐述但并未完全满足项目需求，或内容未包括细节或措施的，得2.5分； （4）每有一项内容阐述内容无法满足项目需求的，得1分。（5）未阐述不得分。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磋商响应方案-总体方案及合理化建议.docx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项目实际需求提供提供质量保障方案。内容包含：①质量目标及控制方案②质量保证措施③问题解决方案全面具体④拟投入设备及管理措施（提供设备品牌、型号、功能等内容的设备清单及相关证明文件）。按其响应程度进行综合赋分。 （1）每有一项内容进行了详细阐述且完全满足项目需求的，得4分； （2）每有一项内容进行了阐述且基本满足项目需求的，得3分； （3）每有一项内容进行了阐述但并未完全满足项目需求，或内容未包括细节或措施的，得2分； （4）每有一项内容未进行阐述或阐述内容无法满足项目需求的，得1分。（5）未阐述不得分。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磋商响应方案-质量保障方案.docx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根据项目实际需求提供应急方案，内容包含：①活动现场安保应急预案；②突发公共卫生事件防控预案；③突发事件应急预案；④针对活动的突发停电、火灾事故、人 员踩踏、伤员救急、食品安全保障等安全预案。 按其响应程度进行综合赋分。 （1）每有一项内容进行了详细阐述且完全满足项目需求的，得4分； （2）每有一项内容进行了阐述且基本满足项目需求的，得3分； （3）每有一项内容进行了阐述但并未完全满足项目需求，或内容未包括细节或措施的，得2分； （4）每有一项内容未进行阐述或阐述内容无法满足项目需求的，得1分。（5）未阐述不得分。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磋商响应方案-应急方案.docx</w:t>
            </w:r>
          </w:p>
        </w:tc>
      </w:tr>
      <w:tr>
        <w:tc>
          <w:tcPr>
            <w:tcW w:type="dxa" w:w="831"/>
            <w:vMerge/>
          </w:tcPr>
          <w:p/>
        </w:tc>
        <w:tc>
          <w:tcPr>
            <w:tcW w:type="dxa" w:w="1661"/>
          </w:tcPr>
          <w:p>
            <w:pPr>
              <w:pStyle w:val="null3"/>
            </w:pPr>
            <w:r>
              <w:rPr>
                <w:rFonts w:ascii="仿宋_GB2312" w:hAnsi="仿宋_GB2312" w:cs="仿宋_GB2312" w:eastAsia="仿宋_GB2312"/>
              </w:rPr>
              <w:t>团队人员情况</w:t>
            </w:r>
          </w:p>
        </w:tc>
        <w:tc>
          <w:tcPr>
            <w:tcW w:type="dxa" w:w="2492"/>
          </w:tcPr>
          <w:p>
            <w:pPr>
              <w:pStyle w:val="null3"/>
            </w:pPr>
            <w:r>
              <w:rPr>
                <w:rFonts w:ascii="仿宋_GB2312" w:hAnsi="仿宋_GB2312" w:cs="仿宋_GB2312" w:eastAsia="仿宋_GB2312"/>
              </w:rPr>
              <w:t>供应商团队人员情况有针对性，能够确保项目顺利实施，内容包含拟派人员数量（项目负责人、其他团队成员）及配置包含；①活动安全、卫生保障方案；②后勤保障方案；③团队架构分工、岗位分工职责、团队 负责人、团队成员、团队岗位制度；（1）每有一项内容进行了详细阐述且完全满足项目需求的，得4分； （2）每有一项内容进行了阐述且基本满足项目需求的，得3分；（3）每有一项内容进行了阐述但并未完全满足项目需求，或内容未包括细节或措施的，得2分； （4）每有一项内容未进行阐述或阐述内容无法满足项目需求的，得1分。（5）未阐述不得分。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磋商响应方案-团队人员情况.docx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供应商提供2022年至今类似项目业绩，须提供完整合同并加盖供应商公章，每提供1份得1分，最高得8分，未提供或证明材料不完整不计分。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详见附件：磋商响应方案-实施方案.docx</w:t>
      </w:r>
    </w:p>
    <w:p>
      <w:pPr>
        <w:pStyle w:val="null3"/>
        <w:ind w:firstLine="960"/>
      </w:pPr>
      <w:r>
        <w:rPr>
          <w:rFonts w:ascii="仿宋_GB2312" w:hAnsi="仿宋_GB2312" w:cs="仿宋_GB2312" w:eastAsia="仿宋_GB2312"/>
        </w:rPr>
        <w:t>详见附件：磋商响应方案-团队人员情况.docx</w:t>
      </w:r>
    </w:p>
    <w:p>
      <w:pPr>
        <w:pStyle w:val="null3"/>
        <w:ind w:firstLine="960"/>
      </w:pPr>
      <w:r>
        <w:rPr>
          <w:rFonts w:ascii="仿宋_GB2312" w:hAnsi="仿宋_GB2312" w:cs="仿宋_GB2312" w:eastAsia="仿宋_GB2312"/>
        </w:rPr>
        <w:t>详见附件：磋商响应方案-业绩.docx</w:t>
      </w:r>
    </w:p>
    <w:p>
      <w:pPr>
        <w:pStyle w:val="null3"/>
        <w:ind w:firstLine="960"/>
      </w:pPr>
      <w:r>
        <w:rPr>
          <w:rFonts w:ascii="仿宋_GB2312" w:hAnsi="仿宋_GB2312" w:cs="仿宋_GB2312" w:eastAsia="仿宋_GB2312"/>
        </w:rPr>
        <w:t>详见附件：磋商响应方案-应急方案.docx</w:t>
      </w:r>
    </w:p>
    <w:p>
      <w:pPr>
        <w:pStyle w:val="null3"/>
        <w:ind w:firstLine="960"/>
      </w:pPr>
      <w:r>
        <w:rPr>
          <w:rFonts w:ascii="仿宋_GB2312" w:hAnsi="仿宋_GB2312" w:cs="仿宋_GB2312" w:eastAsia="仿宋_GB2312"/>
        </w:rPr>
        <w:t>详见附件：磋商响应方案-质量保障方案.docx</w:t>
      </w:r>
    </w:p>
    <w:p>
      <w:pPr>
        <w:pStyle w:val="null3"/>
        <w:ind w:firstLine="960"/>
      </w:pPr>
      <w:r>
        <w:rPr>
          <w:rFonts w:ascii="仿宋_GB2312" w:hAnsi="仿宋_GB2312" w:cs="仿宋_GB2312" w:eastAsia="仿宋_GB2312"/>
        </w:rPr>
        <w:t>详见附件：磋商响应方案-总体方案及合理化建议.docx</w:t>
      </w:r>
    </w:p>
    <w:p>
      <w:pPr>
        <w:pStyle w:val="null3"/>
        <w:ind w:firstLine="960"/>
      </w:pPr>
      <w:r>
        <w:rPr>
          <w:rFonts w:ascii="仿宋_GB2312" w:hAnsi="仿宋_GB2312" w:cs="仿宋_GB2312" w:eastAsia="仿宋_GB2312"/>
        </w:rPr>
        <w:t>详见附件：服务技术指标偏差表.docx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