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A71AC">
      <w:pPr>
        <w:keepNext w:val="0"/>
        <w:keepLines w:val="0"/>
        <w:pageBreakBefore w:val="0"/>
        <w:widowControl w:val="0"/>
        <w:kinsoku/>
        <w:wordWrap/>
        <w:overflowPunct/>
        <w:topLinePunct w:val="0"/>
        <w:autoSpaceDE/>
        <w:autoSpaceDN/>
        <w:bidi w:val="0"/>
        <w:adjustRightInd/>
        <w:snapToGrid/>
        <w:spacing w:after="157" w:afterLines="50"/>
        <w:ind w:left="0" w:leftChars="0" w:right="0" w:rightChars="0" w:firstLine="0" w:firstLineChars="0"/>
        <w:jc w:val="center"/>
        <w:textAlignment w:val="auto"/>
        <w:rPr>
          <w:rFonts w:hint="eastAsia" w:ascii="黑体" w:hAnsi="黑体" w:eastAsia="黑体" w:cs="黑体"/>
          <w:spacing w:val="7"/>
          <w:sz w:val="32"/>
          <w:szCs w:val="32"/>
          <w:lang w:eastAsia="zh-CN"/>
        </w:rPr>
      </w:pPr>
      <w:r>
        <w:rPr>
          <w:rFonts w:hint="eastAsia" w:ascii="黑体" w:hAnsi="黑体" w:eastAsia="黑体" w:cs="黑体"/>
          <w:spacing w:val="7"/>
          <w:sz w:val="32"/>
          <w:szCs w:val="32"/>
          <w:lang w:eastAsia="zh-CN"/>
        </w:rPr>
        <w:t>主要商务条款</w:t>
      </w:r>
      <w:r>
        <w:rPr>
          <w:rFonts w:hint="eastAsia" w:ascii="黑体" w:hAnsi="黑体" w:eastAsia="黑体" w:cs="黑体"/>
          <w:spacing w:val="7"/>
          <w:sz w:val="32"/>
          <w:szCs w:val="32"/>
          <w:lang w:val="en-US" w:eastAsia="zh-CN"/>
        </w:rPr>
        <w:t>响应</w:t>
      </w:r>
      <w:r>
        <w:rPr>
          <w:rFonts w:hint="eastAsia" w:ascii="黑体" w:hAnsi="黑体" w:eastAsia="黑体" w:cs="黑体"/>
          <w:spacing w:val="7"/>
          <w:sz w:val="32"/>
          <w:szCs w:val="32"/>
          <w:lang w:eastAsia="zh-CN"/>
        </w:rPr>
        <w:t>偏离表</w:t>
      </w:r>
    </w:p>
    <w:tbl>
      <w:tblPr>
        <w:tblStyle w:val="5"/>
        <w:tblW w:w="4974"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58"/>
        <w:gridCol w:w="1291"/>
        <w:gridCol w:w="5554"/>
        <w:gridCol w:w="875"/>
      </w:tblGrid>
      <w:tr w14:paraId="333C969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447" w:type="pct"/>
            <w:tcBorders>
              <w:tl2br w:val="nil"/>
              <w:tr2bl w:val="nil"/>
            </w:tcBorders>
            <w:vAlign w:val="center"/>
          </w:tcPr>
          <w:p w14:paraId="218FE23C">
            <w:pPr>
              <w:widowControl/>
              <w:kinsoku w:val="0"/>
              <w:overflowPunct w:val="0"/>
              <w:autoSpaceDE w:val="0"/>
              <w:autoSpaceDN w:val="0"/>
              <w:adjustRightInd w:val="0"/>
              <w:snapToGrid w:val="0"/>
              <w:spacing w:line="400" w:lineRule="exact"/>
              <w:jc w:val="center"/>
              <w:textAlignment w:val="baseline"/>
              <w:rPr>
                <w:rFonts w:ascii="宋体" w:hAnsi="宋体" w:eastAsia="宋体" w:cs="宋体"/>
                <w:color w:val="000000"/>
                <w:kern w:val="0"/>
                <w:sz w:val="22"/>
                <w:szCs w:val="22"/>
                <w:lang w:eastAsia="en-US"/>
              </w:rPr>
            </w:pPr>
            <w:r>
              <w:rPr>
                <w:rFonts w:hint="eastAsia" w:ascii="宋体" w:hAnsi="宋体" w:eastAsia="宋体" w:cs="宋体"/>
                <w:color w:val="000000"/>
                <w:kern w:val="0"/>
                <w:sz w:val="22"/>
                <w:szCs w:val="22"/>
                <w:lang w:eastAsia="en-US"/>
              </w:rPr>
              <w:t>序号</w:t>
            </w:r>
          </w:p>
        </w:tc>
        <w:tc>
          <w:tcPr>
            <w:tcW w:w="4036" w:type="pct"/>
            <w:gridSpan w:val="2"/>
            <w:tcBorders>
              <w:tl2br w:val="nil"/>
              <w:tr2bl w:val="nil"/>
            </w:tcBorders>
            <w:vAlign w:val="center"/>
          </w:tcPr>
          <w:p w14:paraId="5C039ACF">
            <w:pPr>
              <w:widowControl/>
              <w:kinsoku w:val="0"/>
              <w:overflowPunct w:val="0"/>
              <w:autoSpaceDE w:val="0"/>
              <w:autoSpaceDN w:val="0"/>
              <w:adjustRightInd w:val="0"/>
              <w:snapToGrid w:val="0"/>
              <w:spacing w:line="400" w:lineRule="exact"/>
              <w:jc w:val="center"/>
              <w:textAlignment w:val="baseline"/>
              <w:rPr>
                <w:rFonts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eastAsia="zh-CN"/>
              </w:rPr>
              <w:t>招标文件主要商务条款要求</w:t>
            </w:r>
          </w:p>
        </w:tc>
        <w:tc>
          <w:tcPr>
            <w:tcW w:w="516" w:type="pct"/>
            <w:tcBorders>
              <w:tl2br w:val="nil"/>
              <w:tr2bl w:val="nil"/>
            </w:tcBorders>
            <w:vAlign w:val="center"/>
          </w:tcPr>
          <w:p w14:paraId="7D9E82D0">
            <w:pPr>
              <w:widowControl/>
              <w:kinsoku w:val="0"/>
              <w:overflowPunct w:val="0"/>
              <w:autoSpaceDE w:val="0"/>
              <w:autoSpaceDN w:val="0"/>
              <w:adjustRightInd w:val="0"/>
              <w:snapToGrid w:val="0"/>
              <w:spacing w:line="400" w:lineRule="exact"/>
              <w:jc w:val="center"/>
              <w:textAlignment w:val="baseline"/>
              <w:rPr>
                <w:rFonts w:hint="eastAsia" w:ascii="宋体" w:hAnsi="宋体" w:eastAsia="宋体" w:cs="宋体"/>
                <w:color w:val="000000"/>
                <w:kern w:val="0"/>
                <w:sz w:val="22"/>
                <w:szCs w:val="22"/>
                <w:lang w:eastAsia="en-US"/>
              </w:rPr>
            </w:pPr>
            <w:r>
              <w:rPr>
                <w:rFonts w:hint="eastAsia" w:ascii="宋体" w:hAnsi="宋体" w:eastAsia="宋体" w:cs="宋体"/>
                <w:color w:val="000000"/>
                <w:kern w:val="0"/>
                <w:sz w:val="22"/>
                <w:szCs w:val="22"/>
                <w:lang w:eastAsia="en-US"/>
              </w:rPr>
              <w:t>偏离</w:t>
            </w:r>
          </w:p>
          <w:p w14:paraId="73A1F934">
            <w:pPr>
              <w:widowControl/>
              <w:kinsoku w:val="0"/>
              <w:overflowPunct w:val="0"/>
              <w:autoSpaceDE w:val="0"/>
              <w:autoSpaceDN w:val="0"/>
              <w:adjustRightInd w:val="0"/>
              <w:snapToGrid w:val="0"/>
              <w:spacing w:line="400" w:lineRule="exact"/>
              <w:jc w:val="center"/>
              <w:textAlignment w:val="baseline"/>
              <w:rPr>
                <w:rFonts w:ascii="宋体" w:hAnsi="宋体" w:eastAsia="宋体" w:cs="宋体"/>
                <w:color w:val="000000"/>
                <w:kern w:val="0"/>
                <w:sz w:val="22"/>
                <w:szCs w:val="22"/>
                <w:lang w:eastAsia="en-US"/>
              </w:rPr>
            </w:pPr>
            <w:r>
              <w:rPr>
                <w:rFonts w:hint="eastAsia" w:ascii="宋体" w:hAnsi="宋体" w:eastAsia="宋体" w:cs="宋体"/>
                <w:color w:val="000000"/>
                <w:kern w:val="0"/>
                <w:sz w:val="22"/>
                <w:szCs w:val="22"/>
                <w:lang w:eastAsia="en-US"/>
              </w:rPr>
              <w:t>说明</w:t>
            </w:r>
          </w:p>
        </w:tc>
      </w:tr>
      <w:tr w14:paraId="3905C4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447" w:type="pct"/>
            <w:tcBorders>
              <w:tl2br w:val="nil"/>
              <w:tr2bl w:val="nil"/>
            </w:tcBorders>
            <w:vAlign w:val="center"/>
          </w:tcPr>
          <w:p w14:paraId="11135B46">
            <w:pPr>
              <w:widowControl/>
              <w:kinsoku w:val="0"/>
              <w:overflowPunct w:val="0"/>
              <w:autoSpaceDE w:val="0"/>
              <w:autoSpaceDN w:val="0"/>
              <w:adjustRightInd w:val="0"/>
              <w:snapToGrid w:val="0"/>
              <w:spacing w:line="400" w:lineRule="exact"/>
              <w:jc w:val="center"/>
              <w:textAlignment w:val="baseline"/>
              <w:rPr>
                <w:rFonts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eastAsia="zh-CN"/>
              </w:rPr>
              <w:t>1</w:t>
            </w:r>
          </w:p>
        </w:tc>
        <w:tc>
          <w:tcPr>
            <w:tcW w:w="761" w:type="pct"/>
            <w:tcBorders>
              <w:tl2br w:val="nil"/>
              <w:tr2bl w:val="nil"/>
            </w:tcBorders>
            <w:vAlign w:val="center"/>
          </w:tcPr>
          <w:p w14:paraId="7437E1BD">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right="0" w:rightChars="0" w:firstLine="0" w:firstLineChars="0"/>
              <w:jc w:val="center"/>
              <w:textAlignment w:val="baseline"/>
              <w:rPr>
                <w:rFonts w:ascii="宋体" w:hAnsi="宋体" w:eastAsia="宋体" w:cs="宋体"/>
                <w:color w:val="000000"/>
                <w:kern w:val="0"/>
                <w:sz w:val="22"/>
                <w:szCs w:val="22"/>
                <w:lang w:eastAsia="en-US"/>
              </w:rPr>
            </w:pPr>
            <w:r>
              <w:rPr>
                <w:rFonts w:hint="eastAsia" w:ascii="宋体" w:hAnsi="宋体" w:eastAsia="宋体" w:cs="宋体"/>
                <w:color w:val="000000"/>
                <w:kern w:val="0"/>
                <w:sz w:val="22"/>
                <w:szCs w:val="22"/>
                <w:lang w:val="en-US" w:eastAsia="en-US"/>
              </w:rPr>
              <w:t>质保期</w:t>
            </w:r>
          </w:p>
        </w:tc>
        <w:tc>
          <w:tcPr>
            <w:tcW w:w="3275" w:type="pct"/>
            <w:tcBorders>
              <w:tl2br w:val="nil"/>
              <w:tr2bl w:val="nil"/>
            </w:tcBorders>
            <w:vAlign w:val="center"/>
          </w:tcPr>
          <w:p w14:paraId="14D2A8CA">
            <w:pPr>
              <w:keepNext w:val="0"/>
              <w:keepLines w:val="0"/>
              <w:pageBreakBefore w:val="0"/>
              <w:widowControl/>
              <w:kinsoku w:val="0"/>
              <w:wordWrap/>
              <w:overflowPunct w:val="0"/>
              <w:topLinePunct w:val="0"/>
              <w:autoSpaceDE w:val="0"/>
              <w:autoSpaceDN w:val="0"/>
              <w:bidi w:val="0"/>
              <w:adjustRightInd w:val="0"/>
              <w:snapToGrid w:val="0"/>
              <w:spacing w:line="360" w:lineRule="auto"/>
              <w:jc w:val="both"/>
              <w:textAlignment w:val="baseline"/>
              <w:rPr>
                <w:rFonts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 xml:space="preserve">送达采购人指定地点的试剂收货后的有效期不少于成品总有效期三分之二 。 </w:t>
            </w:r>
          </w:p>
        </w:tc>
        <w:tc>
          <w:tcPr>
            <w:tcW w:w="516" w:type="pct"/>
            <w:tcBorders>
              <w:tl2br w:val="nil"/>
              <w:tr2bl w:val="nil"/>
            </w:tcBorders>
          </w:tcPr>
          <w:p w14:paraId="3FC36E86">
            <w:pPr>
              <w:widowControl/>
              <w:kinsoku w:val="0"/>
              <w:overflowPunct w:val="0"/>
              <w:autoSpaceDE w:val="0"/>
              <w:autoSpaceDN w:val="0"/>
              <w:adjustRightInd w:val="0"/>
              <w:snapToGrid w:val="0"/>
              <w:spacing w:line="400" w:lineRule="exact"/>
              <w:ind w:left="290" w:hanging="290" w:hangingChars="132"/>
              <w:jc w:val="center"/>
              <w:textAlignment w:val="baseline"/>
              <w:rPr>
                <w:rFonts w:ascii="宋体" w:hAnsi="宋体" w:eastAsia="宋体" w:cs="宋体"/>
                <w:color w:val="000000"/>
                <w:kern w:val="0"/>
                <w:sz w:val="22"/>
                <w:szCs w:val="22"/>
                <w:lang w:eastAsia="zh-CN"/>
              </w:rPr>
            </w:pPr>
          </w:p>
        </w:tc>
      </w:tr>
      <w:tr w14:paraId="34EBDD5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6" w:hRule="atLeast"/>
        </w:trPr>
        <w:tc>
          <w:tcPr>
            <w:tcW w:w="447" w:type="pct"/>
            <w:tcBorders>
              <w:tl2br w:val="nil"/>
              <w:tr2bl w:val="nil"/>
            </w:tcBorders>
            <w:vAlign w:val="center"/>
          </w:tcPr>
          <w:p w14:paraId="687692B7">
            <w:pPr>
              <w:widowControl/>
              <w:kinsoku w:val="0"/>
              <w:overflowPunct w:val="0"/>
              <w:autoSpaceDE w:val="0"/>
              <w:autoSpaceDN w:val="0"/>
              <w:adjustRightInd w:val="0"/>
              <w:snapToGrid w:val="0"/>
              <w:spacing w:line="400" w:lineRule="exact"/>
              <w:jc w:val="center"/>
              <w:textAlignment w:val="baseline"/>
              <w:rPr>
                <w:rFonts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eastAsia="zh-CN"/>
              </w:rPr>
              <w:t>2</w:t>
            </w:r>
          </w:p>
        </w:tc>
        <w:tc>
          <w:tcPr>
            <w:tcW w:w="761" w:type="pct"/>
            <w:tcBorders>
              <w:tl2br w:val="nil"/>
              <w:tr2bl w:val="nil"/>
            </w:tcBorders>
            <w:vAlign w:val="center"/>
          </w:tcPr>
          <w:p w14:paraId="74F82F38">
            <w:pPr>
              <w:keepNext w:val="0"/>
              <w:keepLines w:val="0"/>
              <w:pageBreakBefore w:val="0"/>
              <w:widowControl/>
              <w:kinsoku w:val="0"/>
              <w:wordWrap/>
              <w:overflowPunct w:val="0"/>
              <w:topLinePunct w:val="0"/>
              <w:autoSpaceDE w:val="0"/>
              <w:autoSpaceDN w:val="0"/>
              <w:bidi w:val="0"/>
              <w:adjustRightInd w:val="0"/>
              <w:snapToGrid w:val="0"/>
              <w:spacing w:line="360" w:lineRule="auto"/>
              <w:ind w:left="0" w:leftChars="0" w:right="0" w:rightChars="0" w:firstLine="0" w:firstLineChars="0"/>
              <w:jc w:val="center"/>
              <w:textAlignment w:val="baseline"/>
              <w:rPr>
                <w:rFonts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支付</w:t>
            </w:r>
          </w:p>
        </w:tc>
        <w:tc>
          <w:tcPr>
            <w:tcW w:w="3275" w:type="pct"/>
            <w:tcBorders>
              <w:tl2br w:val="nil"/>
              <w:tr2bl w:val="nil"/>
            </w:tcBorders>
            <w:vAlign w:val="center"/>
          </w:tcPr>
          <w:p w14:paraId="2DD6B649">
            <w:pPr>
              <w:keepNext w:val="0"/>
              <w:keepLines w:val="0"/>
              <w:pageBreakBefore w:val="0"/>
              <w:widowControl w:val="0"/>
              <w:kinsoku/>
              <w:wordWrap/>
              <w:overflowPunct w:val="0"/>
              <w:topLinePunct w:val="0"/>
              <w:autoSpaceDE/>
              <w:autoSpaceDN/>
              <w:bidi w:val="0"/>
              <w:adjustRightInd w:val="0"/>
              <w:snapToGrid w:val="0"/>
              <w:spacing w:line="360" w:lineRule="auto"/>
              <w:jc w:val="left"/>
              <w:textAlignment w:val="auto"/>
              <w:rPr>
                <w:rFonts w:ascii="宋体" w:hAnsi="宋体" w:eastAsia="宋体" w:cs="宋体"/>
                <w:color w:val="000000"/>
                <w:kern w:val="0"/>
                <w:sz w:val="22"/>
                <w:szCs w:val="22"/>
                <w:lang w:eastAsia="zh-CN"/>
              </w:rPr>
            </w:pPr>
            <w:r>
              <w:rPr>
                <w:rFonts w:hint="eastAsia" w:ascii="宋体" w:hAnsi="宋体" w:eastAsia="宋体" w:cs="宋体"/>
                <w:color w:val="000000"/>
                <w:kern w:val="0"/>
                <w:sz w:val="22"/>
                <w:szCs w:val="22"/>
                <w:highlight w:val="none"/>
                <w:lang w:val="en-US" w:eastAsia="zh-CN"/>
              </w:rPr>
              <w:t>供应商所供货物到达采购人指定地点后经双方验收合格后，采购人进行结算。在付款前，供应商开具全额发票给采购人。采购人收到发票后15日内，支付合同总金额的100％ 。</w:t>
            </w:r>
          </w:p>
        </w:tc>
        <w:tc>
          <w:tcPr>
            <w:tcW w:w="516" w:type="pct"/>
            <w:tcBorders>
              <w:tl2br w:val="nil"/>
              <w:tr2bl w:val="nil"/>
            </w:tcBorders>
          </w:tcPr>
          <w:p w14:paraId="5150A761">
            <w:pPr>
              <w:widowControl/>
              <w:kinsoku w:val="0"/>
              <w:overflowPunct w:val="0"/>
              <w:autoSpaceDE w:val="0"/>
              <w:autoSpaceDN w:val="0"/>
              <w:adjustRightInd w:val="0"/>
              <w:snapToGrid w:val="0"/>
              <w:spacing w:line="400" w:lineRule="exact"/>
              <w:jc w:val="center"/>
              <w:textAlignment w:val="baseline"/>
              <w:rPr>
                <w:rFonts w:ascii="宋体" w:hAnsi="宋体" w:eastAsia="宋体" w:cs="宋体"/>
                <w:color w:val="000000"/>
                <w:kern w:val="0"/>
                <w:sz w:val="22"/>
                <w:szCs w:val="22"/>
                <w:lang w:eastAsia="zh-CN"/>
              </w:rPr>
            </w:pPr>
          </w:p>
        </w:tc>
      </w:tr>
    </w:tbl>
    <w:p w14:paraId="1A861A8E">
      <w:pPr>
        <w:widowControl/>
        <w:kinsoku w:val="0"/>
        <w:overflowPunct w:val="0"/>
        <w:autoSpaceDE w:val="0"/>
        <w:autoSpaceDN w:val="0"/>
        <w:adjustRightInd w:val="0"/>
        <w:snapToGrid w:val="0"/>
        <w:spacing w:line="400" w:lineRule="exact"/>
        <w:jc w:val="left"/>
        <w:textAlignment w:val="baseline"/>
        <w:rPr>
          <w:rFonts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eastAsia="zh-CN"/>
        </w:rPr>
        <w:t>说明：</w:t>
      </w:r>
    </w:p>
    <w:p w14:paraId="679D2A66">
      <w:pPr>
        <w:widowControl/>
        <w:kinsoku w:val="0"/>
        <w:overflowPunct w:val="0"/>
        <w:autoSpaceDE w:val="0"/>
        <w:autoSpaceDN w:val="0"/>
        <w:adjustRightInd w:val="0"/>
        <w:snapToGrid w:val="0"/>
        <w:spacing w:line="400" w:lineRule="exact"/>
        <w:jc w:val="left"/>
        <w:textAlignment w:val="baseline"/>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eastAsia="zh-CN"/>
        </w:rPr>
        <w:t>1.偏离说明填写：优于、相同、低于。未填写视为低于。</w:t>
      </w:r>
    </w:p>
    <w:p w14:paraId="28F99DB6">
      <w:pPr>
        <w:widowControl/>
        <w:kinsoku w:val="0"/>
        <w:overflowPunct w:val="0"/>
        <w:autoSpaceDE w:val="0"/>
        <w:autoSpaceDN w:val="0"/>
        <w:adjustRightInd w:val="0"/>
        <w:snapToGrid w:val="0"/>
        <w:spacing w:line="400" w:lineRule="exact"/>
        <w:jc w:val="left"/>
        <w:textAlignment w:val="baseline"/>
        <w:rPr>
          <w:rFonts w:ascii="宋体" w:hAnsi="宋体" w:eastAsia="宋体" w:cs="宋体"/>
          <w:color w:val="000000"/>
          <w:kern w:val="0"/>
          <w:sz w:val="22"/>
          <w:szCs w:val="22"/>
          <w:lang w:eastAsia="zh-CN"/>
        </w:rPr>
      </w:pPr>
      <w:r>
        <w:rPr>
          <w:rFonts w:hint="eastAsia" w:ascii="宋体" w:hAnsi="宋体" w:eastAsia="宋体" w:cs="宋体"/>
          <w:b/>
          <w:color w:val="000000"/>
          <w:kern w:val="0"/>
          <w:sz w:val="22"/>
          <w:szCs w:val="22"/>
          <w:lang w:eastAsia="zh-CN"/>
        </w:rPr>
        <w:t>2.主要商务条款不允许负偏离（低于）。</w:t>
      </w:r>
    </w:p>
    <w:p w14:paraId="46FECA9A">
      <w:pPr>
        <w:widowControl/>
        <w:kinsoku w:val="0"/>
        <w:overflowPunct w:val="0"/>
        <w:autoSpaceDE w:val="0"/>
        <w:autoSpaceDN w:val="0"/>
        <w:adjustRightInd w:val="0"/>
        <w:snapToGrid w:val="0"/>
        <w:spacing w:line="400" w:lineRule="exact"/>
        <w:ind w:firstLine="480"/>
        <w:jc w:val="left"/>
        <w:textAlignment w:val="baseline"/>
        <w:rPr>
          <w:rFonts w:ascii="宋体" w:hAnsi="宋体" w:eastAsia="宋体" w:cs="宋体"/>
          <w:b/>
          <w:color w:val="000000"/>
          <w:kern w:val="0"/>
          <w:sz w:val="22"/>
          <w:szCs w:val="22"/>
          <w:lang w:eastAsia="zh-CN"/>
        </w:rPr>
      </w:pPr>
    </w:p>
    <w:p w14:paraId="2AA9531C">
      <w:pPr>
        <w:rPr>
          <w:rFonts w:hint="eastAsia" w:ascii="黑体" w:hAnsi="黑体" w:eastAsia="黑体" w:cs="黑体"/>
          <w:spacing w:val="7"/>
          <w:sz w:val="31"/>
          <w:szCs w:val="31"/>
          <w:lang w:val="en-US" w:eastAsia="zh-CN"/>
        </w:rPr>
      </w:pPr>
    </w:p>
    <w:p w14:paraId="6B5BC02E">
      <w:pPr>
        <w:rPr>
          <w:rFonts w:hint="eastAsia" w:ascii="宋体" w:hAnsi="宋体" w:eastAsia="宋体" w:cs="宋体"/>
          <w:spacing w:val="7"/>
          <w:sz w:val="24"/>
          <w:szCs w:val="24"/>
          <w:lang w:eastAsia="zh-CN"/>
        </w:rPr>
      </w:pPr>
      <w:r>
        <w:rPr>
          <w:rFonts w:hint="eastAsia" w:ascii="宋体" w:hAnsi="宋体" w:eastAsia="宋体" w:cs="宋体"/>
          <w:spacing w:val="7"/>
          <w:sz w:val="24"/>
          <w:szCs w:val="24"/>
          <w:lang w:val="en-US" w:eastAsia="zh-CN"/>
        </w:rPr>
        <w:t>供应商</w:t>
      </w:r>
      <w:r>
        <w:rPr>
          <w:rFonts w:hint="eastAsia" w:ascii="宋体" w:hAnsi="宋体" w:eastAsia="宋体" w:cs="宋体"/>
          <w:spacing w:val="7"/>
          <w:sz w:val="24"/>
          <w:szCs w:val="24"/>
          <w:lang w:eastAsia="zh-CN"/>
        </w:rPr>
        <w:t>：（盖公章）</w:t>
      </w:r>
    </w:p>
    <w:p w14:paraId="0FA0BB3B">
      <w:pPr>
        <w:rPr>
          <w:rFonts w:hint="eastAsia" w:ascii="黑体" w:hAnsi="黑体" w:eastAsia="黑体" w:cs="黑体"/>
          <w:spacing w:val="7"/>
          <w:sz w:val="31"/>
          <w:szCs w:val="31"/>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NTkyNDJjNWFiYWRmMjRlNGYzNzgwOGFjNTE0OGUifQ=="/>
  </w:docVars>
  <w:rsids>
    <w:rsidRoot w:val="00000000"/>
    <w:rsid w:val="01A404A1"/>
    <w:rsid w:val="040200C7"/>
    <w:rsid w:val="0A942E34"/>
    <w:rsid w:val="1A056E8B"/>
    <w:rsid w:val="21D1228E"/>
    <w:rsid w:val="36B97921"/>
    <w:rsid w:val="3ED7095D"/>
    <w:rsid w:val="3FF9428E"/>
    <w:rsid w:val="44C55140"/>
    <w:rsid w:val="5481728A"/>
    <w:rsid w:val="58991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snapToGrid w:val="0"/>
      <w:kern w:val="0"/>
      <w:sz w:val="72"/>
      <w:szCs w:val="22"/>
      <w:lang w:val="en-US" w:eastAsia="zh-CN" w:bidi="ar-SA"/>
    </w:rPr>
  </w:style>
  <w:style w:type="paragraph" w:styleId="2">
    <w:name w:val="heading 2"/>
    <w:basedOn w:val="1"/>
    <w:next w:val="1"/>
    <w:qFormat/>
    <w:uiPriority w:val="0"/>
    <w:pPr>
      <w:keepNext/>
      <w:keepLines/>
      <w:spacing w:before="10" w:after="10" w:line="440" w:lineRule="exact"/>
      <w:outlineLvl w:val="1"/>
    </w:pPr>
    <w:rPr>
      <w:rFonts w:ascii="宋体" w:hAnsi="宋体" w:eastAsia="宋体" w:cs="宋体"/>
      <w:b/>
      <w:bCs/>
      <w:kern w:val="2"/>
      <w:sz w:val="28"/>
      <w:szCs w:val="36"/>
      <w:lang w:eastAsia="zh-CN"/>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w:basedOn w:val="1"/>
    <w:next w:val="1"/>
    <w:autoRedefine/>
    <w:qFormat/>
    <w:uiPriority w:val="0"/>
    <w:pPr>
      <w:widowControl w:val="0"/>
      <w:jc w:val="both"/>
    </w:pPr>
    <w:rPr>
      <w:rFonts w:ascii="Times New Roman" w:hAnsi="Times New Roman" w:eastAsia="宋体" w:cs="Times New Roman"/>
      <w:kern w:val="2"/>
      <w:sz w:val="24"/>
      <w:szCs w:val="20"/>
      <w:lang w:val="zh-CN" w:eastAsia="zh-CN" w:bidi="ar-SA"/>
    </w:rPr>
  </w:style>
  <w:style w:type="paragraph" w:styleId="4">
    <w:name w:val="toc 1"/>
    <w:basedOn w:val="1"/>
    <w:next w:val="1"/>
    <w:autoRedefine/>
    <w:qFormat/>
    <w:uiPriority w:val="0"/>
    <w:pPr>
      <w:spacing w:line="360" w:lineRule="auto"/>
    </w:pPr>
    <w:rPr>
      <w:rFonts w:ascii="Calibri" w:hAnsi="Calibri" w:eastAsia="宋体" w:cs="Times New Roman"/>
      <w:kern w:val="2"/>
      <w:sz w:val="28"/>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367</Words>
  <Characters>384</Characters>
  <Lines>0</Lines>
  <Paragraphs>0</Paragraphs>
  <TotalTime>6</TotalTime>
  <ScaleCrop>false</ScaleCrop>
  <LinksUpToDate>false</LinksUpToDate>
  <CharactersWithSpaces>384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2021-10-13T08:50:00Z</dcterms:created>
  <dc:creator>de'l'l</dc:creator>
  <cp:lastModifiedBy>新昱</cp:lastModifiedBy>
  <dcterms:modified xsi:type="dcterms:W3CDTF">2025-10-27T06:53:24Z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DFA87F5597764438A9D74D7704E36153</vt:lpwstr>
  </property>
  <property fmtid="{D5CDD505-2E9C-101B-9397-08002B2CF9AE}" pid="4" name="KSOTemplateDocerSaveRecord">
    <vt:lpwstr>eyJoZGlkIjoiYjNjNTkyNDJjNWFiYWRmMjRlNGYzNzgwOGFjNTE0OGUiLCJ1c2VySWQiOiI1MDU3ODU5ODQifQ==</vt:lpwstr>
  </property>
</Properties>
</file>