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246D22">
      <w:pPr>
        <w:keepLines w:val="0"/>
        <w:pageBreakBefore w:val="0"/>
        <w:widowControl w:val="0"/>
        <w:kinsoku/>
        <w:wordWrap w:val="0"/>
        <w:overflowPunct w:val="0"/>
        <w:autoSpaceDE/>
        <w:autoSpaceDN/>
        <w:bidi w:val="0"/>
        <w:ind w:left="0" w:leftChars="0" w:right="0" w:rightChars="0" w:firstLine="0" w:firstLineChars="0"/>
        <w:jc w:val="center"/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kern w:val="2"/>
          <w:sz w:val="32"/>
          <w:szCs w:val="28"/>
          <w:highlight w:val="none"/>
          <w:lang w:val="en-US" w:eastAsia="zh-CN" w:bidi="ar-SA"/>
        </w:rPr>
        <w:t>投标产品技术指标偏离表</w:t>
      </w:r>
    </w:p>
    <w:tbl>
      <w:tblPr>
        <w:tblStyle w:val="3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789"/>
        <w:gridCol w:w="571"/>
        <w:gridCol w:w="1984"/>
        <w:gridCol w:w="2459"/>
        <w:gridCol w:w="963"/>
        <w:gridCol w:w="964"/>
      </w:tblGrid>
      <w:tr w14:paraId="24D30C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  <w:jc w:val="center"/>
        </w:trPr>
        <w:tc>
          <w:tcPr>
            <w:tcW w:w="463" w:type="pct"/>
            <w:vMerge w:val="restart"/>
            <w:vAlign w:val="center"/>
          </w:tcPr>
          <w:p w14:paraId="6DE389A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463" w:type="pct"/>
            <w:vMerge w:val="restart"/>
            <w:vAlign w:val="center"/>
          </w:tcPr>
          <w:p w14:paraId="433542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产品</w:t>
            </w:r>
          </w:p>
          <w:p w14:paraId="4C8AFBE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499" w:type="pct"/>
            <w:gridSpan w:val="2"/>
            <w:vAlign w:val="center"/>
          </w:tcPr>
          <w:p w14:paraId="38AD0B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文件产品的参数及要求</w:t>
            </w:r>
          </w:p>
        </w:tc>
        <w:tc>
          <w:tcPr>
            <w:tcW w:w="1443" w:type="pct"/>
            <w:vMerge w:val="restart"/>
            <w:vAlign w:val="center"/>
          </w:tcPr>
          <w:p w14:paraId="30B52B2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</w:rPr>
              <w:t>文件产品的参数</w:t>
            </w:r>
          </w:p>
        </w:tc>
        <w:tc>
          <w:tcPr>
            <w:tcW w:w="565" w:type="pct"/>
            <w:vMerge w:val="restart"/>
            <w:vAlign w:val="center"/>
          </w:tcPr>
          <w:p w14:paraId="0DA6D6C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响应</w:t>
            </w:r>
          </w:p>
          <w:p w14:paraId="2F72F03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华文仿宋"/>
                <w:snapToGrid/>
                <w:color w:val="auto"/>
                <w:kern w:val="0"/>
                <w:sz w:val="24"/>
                <w:szCs w:val="28"/>
                <w:highlight w:val="none"/>
                <w:lang w:val="en-US" w:eastAsia="zh-CN"/>
              </w:rPr>
              <w:t>说明</w:t>
            </w:r>
          </w:p>
        </w:tc>
        <w:tc>
          <w:tcPr>
            <w:tcW w:w="565" w:type="pct"/>
            <w:vMerge w:val="restart"/>
            <w:vAlign w:val="center"/>
          </w:tcPr>
          <w:p w14:paraId="77D31EA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  <w:t>证明资料所在页码</w:t>
            </w:r>
          </w:p>
        </w:tc>
      </w:tr>
      <w:tr w14:paraId="0B158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>
              <w:bottom w:val="single" w:color="auto" w:sz="4" w:space="0"/>
            </w:tcBorders>
          </w:tcPr>
          <w:p w14:paraId="440F61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continue"/>
            <w:tcBorders>
              <w:bottom w:val="single" w:color="auto" w:sz="4" w:space="0"/>
            </w:tcBorders>
          </w:tcPr>
          <w:p w14:paraId="19CBCB4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11CE4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en-US"/>
              </w:rPr>
              <w:t>序号</w:t>
            </w: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0477E68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ind w:left="0" w:leftChars="0" w:right="0" w:rightChars="0" w:firstLine="0" w:firstLineChars="0"/>
              <w:jc w:val="center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  <w:lang w:eastAsia="en-US"/>
              </w:rPr>
              <w:t>内容</w:t>
            </w:r>
          </w:p>
        </w:tc>
        <w:tc>
          <w:tcPr>
            <w:tcW w:w="1443" w:type="pct"/>
            <w:vMerge w:val="continue"/>
          </w:tcPr>
          <w:p w14:paraId="71D6714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vMerge w:val="continue"/>
          </w:tcPr>
          <w:p w14:paraId="31B9CD1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  <w:vMerge w:val="continue"/>
          </w:tcPr>
          <w:p w14:paraId="7DFE421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A8952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restart"/>
            <w:tcBorders>
              <w:top w:val="single" w:color="auto" w:sz="4" w:space="0"/>
            </w:tcBorders>
          </w:tcPr>
          <w:p w14:paraId="63EF38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restart"/>
            <w:tcBorders>
              <w:top w:val="single" w:color="auto" w:sz="4" w:space="0"/>
            </w:tcBorders>
          </w:tcPr>
          <w:p w14:paraId="03900FC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00B4FED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043AC7A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42B7BAA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07285C0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30FFD11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D50DF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</w:tcPr>
          <w:p w14:paraId="06D4A96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continue"/>
          </w:tcPr>
          <w:p w14:paraId="670476F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69A12F4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00F4493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7A8F1C6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117CD75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2AD101B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64A610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</w:tcPr>
          <w:p w14:paraId="6406F4F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continue"/>
          </w:tcPr>
          <w:p w14:paraId="5ADBF72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6DDBCFD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41FD8F9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6A04EA8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083A41C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34FA599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24805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</w:tcPr>
          <w:p w14:paraId="15D0A36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continue"/>
          </w:tcPr>
          <w:p w14:paraId="445BC00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311EEE6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39F7999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5D7A411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40AD13D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6961B53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258F57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restart"/>
            <w:tcBorders>
              <w:top w:val="single" w:color="auto" w:sz="4" w:space="0"/>
            </w:tcBorders>
          </w:tcPr>
          <w:p w14:paraId="4814879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restart"/>
            <w:tcBorders>
              <w:top w:val="single" w:color="auto" w:sz="4" w:space="0"/>
            </w:tcBorders>
          </w:tcPr>
          <w:p w14:paraId="16CD6C4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179B781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009720F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26C6E74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5D09200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79AE08F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0EB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</w:tcPr>
          <w:p w14:paraId="3E2F7E7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continue"/>
          </w:tcPr>
          <w:p w14:paraId="654651F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  <w:vAlign w:val="center"/>
          </w:tcPr>
          <w:p w14:paraId="2BA5C1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  <w:vAlign w:val="center"/>
          </w:tcPr>
          <w:p w14:paraId="1C98E6F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宋体" w:hAnsi="宋体" w:eastAsia="宋体" w:cs="仿宋_GB2312"/>
                <w:snapToGrid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146C849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7AED31A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2F45ACC7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38F1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</w:tcPr>
          <w:p w14:paraId="31C5291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continue"/>
          </w:tcPr>
          <w:p w14:paraId="0AF9E3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</w:tcPr>
          <w:p w14:paraId="1AB9464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</w:tcPr>
          <w:p w14:paraId="734445C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6F0F3DC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61D252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01B6519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2AC2A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</w:tcPr>
          <w:p w14:paraId="64312B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continue"/>
          </w:tcPr>
          <w:p w14:paraId="0D4517A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</w:tcPr>
          <w:p w14:paraId="27E2007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</w:tcPr>
          <w:p w14:paraId="1C7420D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78C3E43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4D2C768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5FEFAE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3D347A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restart"/>
          </w:tcPr>
          <w:p w14:paraId="5CD0C88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restart"/>
          </w:tcPr>
          <w:p w14:paraId="63934DF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</w:tcPr>
          <w:p w14:paraId="3350205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</w:tcPr>
          <w:p w14:paraId="6A6E7C9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3C77246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72355AF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761FD0C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22CF4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/>
          </w:tcPr>
          <w:p w14:paraId="547CA1C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continue"/>
            <w:tcBorders/>
          </w:tcPr>
          <w:p w14:paraId="0C88C88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</w:tcPr>
          <w:p w14:paraId="3D9C6C4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</w:tcPr>
          <w:p w14:paraId="6C13CBE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4ECBF86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2D820D08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4C5032C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4FBB2F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/>
          </w:tcPr>
          <w:p w14:paraId="69001F64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continue"/>
            <w:tcBorders/>
          </w:tcPr>
          <w:p w14:paraId="280C6DE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</w:tcPr>
          <w:p w14:paraId="43EE354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</w:tcPr>
          <w:p w14:paraId="038A143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059630C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6357908F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61CB358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C31E8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restart"/>
          </w:tcPr>
          <w:p w14:paraId="2EAC519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restart"/>
          </w:tcPr>
          <w:p w14:paraId="0150BE2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</w:tcPr>
          <w:p w14:paraId="495419A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</w:tcPr>
          <w:p w14:paraId="0DF2A4BE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1052F7A9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1BDF37A6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639ECD5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772E57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/>
          </w:tcPr>
          <w:p w14:paraId="5C850115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continue"/>
            <w:tcBorders/>
          </w:tcPr>
          <w:p w14:paraId="69BFEA0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</w:tcPr>
          <w:p w14:paraId="49C070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</w:tcPr>
          <w:p w14:paraId="70166E9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2612D9E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624862C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53D24C5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11BC8D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  <w:vMerge w:val="continue"/>
            <w:tcBorders/>
          </w:tcPr>
          <w:p w14:paraId="3B4078A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3" w:type="pct"/>
            <w:vMerge w:val="continue"/>
            <w:tcBorders/>
          </w:tcPr>
          <w:p w14:paraId="537033D2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</w:tcPr>
          <w:p w14:paraId="5BA344A0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</w:tcPr>
          <w:p w14:paraId="2432DED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4D0F266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2A926791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7D7EA91C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  <w:tr w14:paraId="5BEAEA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3" w:type="pct"/>
          </w:tcPr>
          <w:p w14:paraId="4930C00D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hint="default"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463" w:type="pct"/>
          </w:tcPr>
          <w:p w14:paraId="18C1EBAA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5" w:type="pct"/>
            <w:tcBorders>
              <w:right w:val="single" w:color="auto" w:sz="4" w:space="0"/>
            </w:tcBorders>
          </w:tcPr>
          <w:p w14:paraId="7193D22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164" w:type="pct"/>
            <w:tcBorders>
              <w:left w:val="single" w:color="auto" w:sz="4" w:space="0"/>
            </w:tcBorders>
          </w:tcPr>
          <w:p w14:paraId="013ED9C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443" w:type="pct"/>
          </w:tcPr>
          <w:p w14:paraId="0E1351A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7B15443B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565" w:type="pct"/>
          </w:tcPr>
          <w:p w14:paraId="7FFE6B73">
            <w:pPr>
              <w:keepLines w:val="0"/>
              <w:pageBreakBefore w:val="0"/>
              <w:widowControl w:val="0"/>
              <w:kinsoku/>
              <w:wordWrap w:val="0"/>
              <w:overflowPunct w:val="0"/>
              <w:autoSpaceDE/>
              <w:autoSpaceDN/>
              <w:bidi w:val="0"/>
              <w:adjustRightInd w:val="0"/>
              <w:snapToGrid w:val="0"/>
              <w:rPr>
                <w:rFonts w:ascii="仿宋_GB2312" w:hAnsi="仿宋_GB2312" w:eastAsia="仿宋_GB2312" w:cs="仿宋_GB2312"/>
                <w:snapToGrid/>
                <w:color w:val="FF00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2A7506C">
      <w:pPr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 w:val="0"/>
        <w:autoSpaceDE/>
        <w:autoSpaceDN/>
        <w:bidi w:val="0"/>
        <w:adjustRightInd w:val="0"/>
        <w:snapToGrid w:val="0"/>
        <w:spacing w:before="156" w:beforeLines="50" w:line="400" w:lineRule="exact"/>
        <w:ind w:leftChars="0"/>
        <w:rPr>
          <w:rFonts w:ascii="楷体_GB2312" w:hAnsi="宋体" w:eastAsia="楷体_GB2312" w:cs="仿宋_GB2312"/>
          <w:bCs/>
          <w:snapToGrid/>
          <w:color w:val="FF0000"/>
          <w:kern w:val="0"/>
          <w:sz w:val="22"/>
          <w:szCs w:val="32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注：</w:t>
      </w:r>
    </w:p>
    <w:p w14:paraId="1C8FADB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1.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投标人应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按第三章技术参数与性能指标中技术参数栏中的全部内容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在“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投标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文件产品的参数”栏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逐条并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  <w:t>如实填写投标产品的参数和性能。</w:t>
      </w:r>
    </w:p>
    <w:p w14:paraId="4FAA68A3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2.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eastAsia="zh-CN"/>
        </w:rPr>
        <w:t>响应说明填写：优于、等于、低于。</w:t>
      </w:r>
    </w:p>
    <w:p w14:paraId="0F9EEE7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</w:tabs>
        <w:kinsoku/>
        <w:wordWrap w:val="0"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Chars="0"/>
        <w:textAlignment w:val="auto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3.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后附所需的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val="en-US" w:eastAsia="zh-CN"/>
        </w:rPr>
        <w:t>证明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</w:rPr>
        <w:t>资料</w:t>
      </w:r>
      <w:r>
        <w:rPr>
          <w:rFonts w:hint="eastAsia" w:ascii="楷体_GB2312" w:hAnsi="宋体" w:eastAsia="楷体_GB2312" w:cs="仿宋_GB2312"/>
          <w:snapToGrid/>
          <w:kern w:val="0"/>
          <w:sz w:val="22"/>
          <w:szCs w:val="24"/>
          <w:highlight w:val="none"/>
          <w:lang w:eastAsia="zh-CN"/>
        </w:rPr>
        <w:t>，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在提供的资料上用方框等方式醒目标识评审的技术参数，未标示引起对供应商不利的后果由供应商自行承担，并在“证明资料所在页码”栏需填写具体的页码，以便评标委员会核对。</w:t>
      </w:r>
    </w:p>
    <w:p w14:paraId="225D4408">
      <w:pP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4.本附件需编制页码上传，便于评标委员会评审。</w:t>
      </w:r>
    </w:p>
    <w:p w14:paraId="0820289A">
      <w:pPr>
        <w:rPr>
          <w:rFonts w:hint="default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0"/>
          <w:highlight w:val="none"/>
          <w:lang w:val="en-US" w:eastAsia="zh-CN"/>
        </w:rPr>
        <w:t>5.本表可横置填写，空间不足自行扩展。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0F35A7E"/>
    <w:rsid w:val="109F1014"/>
    <w:rsid w:val="202D42B7"/>
    <w:rsid w:val="21414D76"/>
    <w:rsid w:val="28E279B2"/>
    <w:rsid w:val="3FF9428E"/>
    <w:rsid w:val="5481728A"/>
    <w:rsid w:val="58112772"/>
    <w:rsid w:val="6DA647AF"/>
    <w:rsid w:val="70D65AF4"/>
    <w:rsid w:val="7B8A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273</Characters>
  <Lines>0</Lines>
  <Paragraphs>0</Paragraphs>
  <TotalTime>4</TotalTime>
  <ScaleCrop>false</ScaleCrop>
  <LinksUpToDate>false</LinksUpToDate>
  <CharactersWithSpaces>273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2025-10-27T06:46:33Z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