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版本号：ZX2025-10-02.20251103002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可见光-近红外超快非线性光学测量仪采购项目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可见光-近红外超快非线性光学测量仪采购项目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可见光-近红外超快非线性光学测量仪采购项目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本项目为可见光-近红外超快非线性光学测量仪采购项目，1批，具体详见采购文件第三章。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1、法定代表人授权委托书：法定代表人参加谈判的，须提供法定代表人身份证；法定代表人授权本单位他人参加谈判的，须提供法定代表人授权委托书。</w:t>
      </w:r>
    </w:p>
    <w:p>
      <w:pPr>
        <w:pStyle w:val="null3"/>
      </w:pPr>
      <w:r>
        <w:rPr>
          <w:rFonts w:ascii="仿宋_GB2312" w:hAnsi="仿宋_GB2312" w:cs="仿宋_GB2312" w:eastAsia="仿宋_GB2312"/>
        </w:rPr>
        <w:t>2、本项目不接受联合体谈判，不允许分包：本项目不接受联合体谈判，不允许分包。供应商应提供《非联合体不分包投标声明》。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胡怡洁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采购包1保证金金额：41,002.00元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本项目为可见光-近红外超快非线性光学测量仪采购项目。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2,220,000.00</w:t>
      </w:r>
    </w:p>
    <w:p>
      <w:pPr>
        <w:pStyle w:val="null3"/>
      </w:pPr>
      <w:r>
        <w:rPr>
          <w:rFonts w:ascii="仿宋_GB2312" w:hAnsi="仿宋_GB2312" w:cs="仿宋_GB2312" w:eastAsia="仿宋_GB2312"/>
        </w:rPr>
        <w:t>采购包最高限价（元）: 2,220,000.00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可见光-近红外超快非线性光学测量仪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标的名称：可见光-近红外超快非线性光学测量仪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 xml:space="preserve"> 可见光-近红外超快非线性光学测量仪</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一主要技术参数</w:t>
            </w:r>
          </w:p>
          <w:p>
            <w:pPr>
              <w:pStyle w:val="null3"/>
            </w:pPr>
            <w:r>
              <w:rPr>
                <w:rFonts w:ascii="仿宋_GB2312" w:hAnsi="仿宋_GB2312" w:cs="仿宋_GB2312" w:eastAsia="仿宋_GB2312"/>
              </w:rPr>
              <w:t>（注：所有技术参数均须满足要求，★技术参数必须提供佐证材料（包括但不限于产品彩页或厂家盖章出具的技术白皮书或官网截图等），不满足或未提供佐证材料视为负偏离，按无效文件处理。）</w:t>
            </w:r>
          </w:p>
          <w:p>
            <w:pPr>
              <w:pStyle w:val="null3"/>
            </w:pPr>
            <w:r>
              <w:rPr>
                <w:rFonts w:ascii="仿宋_GB2312" w:hAnsi="仿宋_GB2312" w:cs="仿宋_GB2312" w:eastAsia="仿宋_GB2312"/>
              </w:rPr>
              <w:t>（一）光源部分</w:t>
            </w:r>
          </w:p>
          <w:p>
            <w:pPr>
              <w:pStyle w:val="null3"/>
            </w:pPr>
            <w:r>
              <w:rPr>
                <w:rFonts w:ascii="仿宋_GB2312" w:hAnsi="仿宋_GB2312" w:cs="仿宋_GB2312" w:eastAsia="仿宋_GB2312"/>
              </w:rPr>
              <w:t>1. 激光器</w:t>
            </w:r>
          </w:p>
          <w:p>
            <w:pPr>
              <w:pStyle w:val="null3"/>
            </w:pPr>
            <w:r>
              <w:rPr>
                <w:rFonts w:ascii="仿宋_GB2312" w:hAnsi="仿宋_GB2312" w:cs="仿宋_GB2312" w:eastAsia="仿宋_GB2312"/>
              </w:rPr>
              <w:t>1.1最大平均功率：≥10W；</w:t>
            </w:r>
          </w:p>
          <w:p>
            <w:pPr>
              <w:pStyle w:val="null3"/>
            </w:pPr>
            <w:r>
              <w:rPr>
                <w:rFonts w:ascii="仿宋_GB2312" w:hAnsi="仿宋_GB2312" w:cs="仿宋_GB2312" w:eastAsia="仿宋_GB2312"/>
              </w:rPr>
              <w:t>★1.2最小脉宽：≤290fs；</w:t>
            </w:r>
          </w:p>
          <w:p>
            <w:pPr>
              <w:pStyle w:val="null3"/>
            </w:pPr>
            <w:r>
              <w:rPr>
                <w:rFonts w:ascii="仿宋_GB2312" w:hAnsi="仿宋_GB2312" w:cs="仿宋_GB2312" w:eastAsia="仿宋_GB2312"/>
              </w:rPr>
              <w:t>1.3脉宽调节范围：290fs-10ps；</w:t>
            </w:r>
          </w:p>
          <w:p>
            <w:pPr>
              <w:pStyle w:val="null3"/>
            </w:pPr>
            <w:r>
              <w:rPr>
                <w:rFonts w:ascii="仿宋_GB2312" w:hAnsi="仿宋_GB2312" w:cs="仿宋_GB2312" w:eastAsia="仿宋_GB2312"/>
              </w:rPr>
              <w:t>★1.4最大单脉冲能量：≥0.2mJ@1-50kHz；</w:t>
            </w:r>
          </w:p>
          <w:p>
            <w:pPr>
              <w:pStyle w:val="null3"/>
            </w:pPr>
            <w:r>
              <w:rPr>
                <w:rFonts w:ascii="仿宋_GB2312" w:hAnsi="仿宋_GB2312" w:cs="仿宋_GB2312" w:eastAsia="仿宋_GB2312"/>
              </w:rPr>
              <w:t>1.5光束质量：TEM</w:t>
            </w:r>
            <w:r>
              <w:rPr>
                <w:rFonts w:ascii="仿宋_GB2312" w:hAnsi="仿宋_GB2312" w:cs="仿宋_GB2312" w:eastAsia="仿宋_GB2312"/>
                <w:vertAlign w:val="subscript"/>
              </w:rPr>
              <w:t>00</w:t>
            </w:r>
            <w:r>
              <w:rPr>
                <w:rFonts w:ascii="仿宋_GB2312" w:hAnsi="仿宋_GB2312" w:cs="仿宋_GB2312" w:eastAsia="仿宋_GB2312"/>
              </w:rPr>
              <w:t>；M</w:t>
            </w:r>
            <w:r>
              <w:rPr>
                <w:rFonts w:ascii="仿宋_GB2312" w:hAnsi="仿宋_GB2312" w:cs="仿宋_GB2312" w:eastAsia="仿宋_GB2312"/>
                <w:vertAlign w:val="superscript"/>
              </w:rPr>
              <w:t>2</w:t>
            </w:r>
            <w:r>
              <w:rPr>
                <w:rFonts w:ascii="仿宋_GB2312" w:hAnsi="仿宋_GB2312" w:cs="仿宋_GB2312" w:eastAsia="仿宋_GB2312"/>
              </w:rPr>
              <w:t>≤1.2；</w:t>
            </w:r>
          </w:p>
          <w:p>
            <w:pPr>
              <w:pStyle w:val="null3"/>
            </w:pPr>
            <w:r>
              <w:rPr>
                <w:rFonts w:ascii="仿宋_GB2312" w:hAnsi="仿宋_GB2312" w:cs="仿宋_GB2312" w:eastAsia="仿宋_GB2312"/>
              </w:rPr>
              <w:t>1.6重复频率：1Hz-200kHz可调；</w:t>
            </w:r>
          </w:p>
          <w:p>
            <w:pPr>
              <w:pStyle w:val="null3"/>
            </w:pPr>
            <w:r>
              <w:rPr>
                <w:rFonts w:ascii="仿宋_GB2312" w:hAnsi="仿宋_GB2312" w:cs="仿宋_GB2312" w:eastAsia="仿宋_GB2312"/>
              </w:rPr>
              <w:t>1.7中心波长：1030nm±10nm范围内；</w:t>
            </w:r>
          </w:p>
          <w:p>
            <w:pPr>
              <w:pStyle w:val="null3"/>
            </w:pPr>
            <w:r>
              <w:rPr>
                <w:rFonts w:ascii="仿宋_GB2312" w:hAnsi="仿宋_GB2312" w:cs="仿宋_GB2312" w:eastAsia="仿宋_GB2312"/>
              </w:rPr>
              <w:t>1.8输出脉冲间稳定性：≤0.5 % rms 超过24小时；</w:t>
            </w:r>
          </w:p>
          <w:p>
            <w:pPr>
              <w:pStyle w:val="null3"/>
            </w:pPr>
            <w:r>
              <w:rPr>
                <w:rFonts w:ascii="仿宋_GB2312" w:hAnsi="仿宋_GB2312" w:cs="仿宋_GB2312" w:eastAsia="仿宋_GB2312"/>
              </w:rPr>
              <w:t>★1.9输出功率稳定性：≤0.5 % rms 超过100小时；</w:t>
            </w:r>
          </w:p>
          <w:p>
            <w:pPr>
              <w:pStyle w:val="null3"/>
            </w:pPr>
            <w:r>
              <w:rPr>
                <w:rFonts w:ascii="仿宋_GB2312" w:hAnsi="仿宋_GB2312" w:cs="仿宋_GB2312" w:eastAsia="仿宋_GB2312"/>
              </w:rPr>
              <w:t>1.10前脉冲对比度：≤1:1000；</w:t>
            </w:r>
          </w:p>
          <w:p>
            <w:pPr>
              <w:pStyle w:val="null3"/>
            </w:pPr>
            <w:r>
              <w:rPr>
                <w:rFonts w:ascii="仿宋_GB2312" w:hAnsi="仿宋_GB2312" w:cs="仿宋_GB2312" w:eastAsia="仿宋_GB2312"/>
              </w:rPr>
              <w:t>1.11后脉冲对比度：≤1:200；</w:t>
            </w:r>
          </w:p>
          <w:p>
            <w:pPr>
              <w:pStyle w:val="null3"/>
            </w:pPr>
            <w:r>
              <w:rPr>
                <w:rFonts w:ascii="仿宋_GB2312" w:hAnsi="仿宋_GB2312" w:cs="仿宋_GB2312" w:eastAsia="仿宋_GB2312"/>
              </w:rPr>
              <w:t>1.12光束指向稳定性：≤20 μrad/°C；</w:t>
            </w:r>
          </w:p>
          <w:p>
            <w:pPr>
              <w:pStyle w:val="null3"/>
            </w:pPr>
            <w:r>
              <w:rPr>
                <w:rFonts w:ascii="仿宋_GB2312" w:hAnsi="仿宋_GB2312" w:cs="仿宋_GB2312" w:eastAsia="仿宋_GB2312"/>
              </w:rPr>
              <w:t>★1.13激光采用全固态Yb:KGW晶体一体化设计（非光纤），激光头尺寸≤750×450×250 mm；</w:t>
            </w:r>
          </w:p>
          <w:p>
            <w:pPr>
              <w:pStyle w:val="null3"/>
            </w:pPr>
            <w:r>
              <w:rPr>
                <w:rFonts w:ascii="仿宋_GB2312" w:hAnsi="仿宋_GB2312" w:cs="仿宋_GB2312" w:eastAsia="仿宋_GB2312"/>
              </w:rPr>
              <w:t>1.14光斑尺寸3-4 mm；</w:t>
            </w:r>
          </w:p>
          <w:p>
            <w:pPr>
              <w:pStyle w:val="null3"/>
            </w:pPr>
            <w:r>
              <w:rPr>
                <w:rFonts w:ascii="仿宋_GB2312" w:hAnsi="仿宋_GB2312" w:cs="仿宋_GB2312" w:eastAsia="仿宋_GB2312"/>
              </w:rPr>
              <w:t>1.15偏振：线偏振，水平偏振；</w:t>
            </w:r>
          </w:p>
          <w:p>
            <w:pPr>
              <w:pStyle w:val="null3"/>
            </w:pPr>
            <w:r>
              <w:rPr>
                <w:rFonts w:ascii="仿宋_GB2312" w:hAnsi="仿宋_GB2312" w:cs="仿宋_GB2312" w:eastAsia="仿宋_GB2312"/>
              </w:rPr>
              <w:t>1.16基频光输出口高度≤70 mm；</w:t>
            </w:r>
          </w:p>
          <w:p>
            <w:pPr>
              <w:pStyle w:val="null3"/>
            </w:pPr>
            <w:r>
              <w:rPr>
                <w:rFonts w:ascii="仿宋_GB2312" w:hAnsi="仿宋_GB2312" w:cs="仿宋_GB2312" w:eastAsia="仿宋_GB2312"/>
              </w:rPr>
              <w:t>★1.17 可支持GHz脉冲串功能。</w:t>
            </w:r>
          </w:p>
          <w:p>
            <w:pPr>
              <w:pStyle w:val="null3"/>
            </w:pPr>
            <w:r>
              <w:rPr>
                <w:rFonts w:ascii="仿宋_GB2312" w:hAnsi="仿宋_GB2312" w:cs="仿宋_GB2312" w:eastAsia="仿宋_GB2312"/>
              </w:rPr>
              <w:t>2.光学参量放大器</w:t>
            </w:r>
          </w:p>
          <w:p>
            <w:pPr>
              <w:pStyle w:val="null3"/>
            </w:pPr>
            <w:r>
              <w:rPr>
                <w:rFonts w:ascii="仿宋_GB2312" w:hAnsi="仿宋_GB2312" w:cs="仿宋_GB2312" w:eastAsia="仿宋_GB2312"/>
              </w:rPr>
              <w:t>2.1波长调谐范围：630–1030 nm（信号光），1030-2600nm（闲频光），315-630nm（二倍频扩展）；</w:t>
            </w:r>
          </w:p>
          <w:p>
            <w:pPr>
              <w:pStyle w:val="null3"/>
            </w:pPr>
            <w:r>
              <w:rPr>
                <w:rFonts w:ascii="仿宋_GB2312" w:hAnsi="仿宋_GB2312" w:cs="仿宋_GB2312" w:eastAsia="仿宋_GB2312"/>
              </w:rPr>
              <w:t>2.2最大支持泵浦功率≥80W</w:t>
            </w:r>
          </w:p>
          <w:p>
            <w:pPr>
              <w:pStyle w:val="null3"/>
            </w:pPr>
            <w:r>
              <w:rPr>
                <w:rFonts w:ascii="仿宋_GB2312" w:hAnsi="仿宋_GB2312" w:cs="仿宋_GB2312" w:eastAsia="仿宋_GB2312"/>
              </w:rPr>
              <w:t>★2.3支持泵浦能量范围 8-400μJ；</w:t>
            </w:r>
          </w:p>
          <w:p>
            <w:pPr>
              <w:pStyle w:val="null3"/>
            </w:pPr>
            <w:r>
              <w:rPr>
                <w:rFonts w:ascii="仿宋_GB2312" w:hAnsi="仿宋_GB2312" w:cs="仿宋_GB2312" w:eastAsia="仿宋_GB2312"/>
              </w:rPr>
              <w:t>2.4最高转换效率： ≥9% (信号光)@20–400 μJ泵浦；</w:t>
            </w:r>
          </w:p>
          <w:p>
            <w:pPr>
              <w:pStyle w:val="null3"/>
            </w:pPr>
            <w:r>
              <w:rPr>
                <w:rFonts w:ascii="仿宋_GB2312" w:hAnsi="仿宋_GB2312" w:cs="仿宋_GB2312" w:eastAsia="仿宋_GB2312"/>
              </w:rPr>
              <w:t>2.5输出脉宽范围: 120–400 fs；</w:t>
            </w:r>
          </w:p>
          <w:p>
            <w:pPr>
              <w:pStyle w:val="null3"/>
            </w:pPr>
            <w:r>
              <w:rPr>
                <w:rFonts w:ascii="仿宋_GB2312" w:hAnsi="仿宋_GB2312" w:cs="仿宋_GB2312" w:eastAsia="仿宋_GB2312"/>
              </w:rPr>
              <w:t>2.6脉冲带宽范围@ 700–960 nm: 60–220 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★2.7长期功率稳定性 (8小时) ：≤2 % @ 800 nm；</w:t>
            </w:r>
          </w:p>
          <w:p>
            <w:pPr>
              <w:pStyle w:val="null3"/>
            </w:pPr>
            <w:r>
              <w:rPr>
                <w:rFonts w:ascii="仿宋_GB2312" w:hAnsi="仿宋_GB2312" w:cs="仿宋_GB2312" w:eastAsia="仿宋_GB2312"/>
              </w:rPr>
              <w:t>2.8脉冲间能量稳定性 (1 分钟)：≤2 % @ 800 nm；</w:t>
            </w:r>
          </w:p>
          <w:p>
            <w:pPr>
              <w:pStyle w:val="null3"/>
            </w:pPr>
            <w:r>
              <w:rPr>
                <w:rFonts w:ascii="仿宋_GB2312" w:hAnsi="仿宋_GB2312" w:cs="仿宋_GB2312" w:eastAsia="仿宋_GB2312"/>
              </w:rPr>
              <w:t>2.9光学参量放大器包含自动滤光片轮；</w:t>
            </w:r>
          </w:p>
          <w:p>
            <w:pPr>
              <w:pStyle w:val="null3"/>
            </w:pPr>
            <w:r>
              <w:rPr>
                <w:rFonts w:ascii="仿宋_GB2312" w:hAnsi="仿宋_GB2312" w:cs="仿宋_GB2312" w:eastAsia="仿宋_GB2312"/>
              </w:rPr>
              <w:t>2.10光学参量放大器所有输出波长为同一出口；</w:t>
            </w:r>
          </w:p>
          <w:p>
            <w:pPr>
              <w:pStyle w:val="null3"/>
            </w:pPr>
            <w:r>
              <w:rPr>
                <w:rFonts w:ascii="仿宋_GB2312" w:hAnsi="仿宋_GB2312" w:cs="仿宋_GB2312" w:eastAsia="仿宋_GB2312"/>
              </w:rPr>
              <w:t>（二）测量主机部分</w:t>
            </w:r>
          </w:p>
          <w:p>
            <w:pPr>
              <w:pStyle w:val="null3"/>
            </w:pPr>
            <w:r>
              <w:rPr>
                <w:rFonts w:ascii="仿宋_GB2312" w:hAnsi="仿宋_GB2312" w:cs="仿宋_GB2312" w:eastAsia="仿宋_GB2312"/>
              </w:rPr>
              <w:t>1、精密光学位移台：速度≥30mm/s；最小分辨率：≤0.1um；重复定位精度：≤2um；</w:t>
            </w:r>
          </w:p>
          <w:p>
            <w:pPr>
              <w:pStyle w:val="null3"/>
            </w:pPr>
            <w:r>
              <w:rPr>
                <w:rFonts w:ascii="仿宋_GB2312" w:hAnsi="仿宋_GB2312" w:cs="仿宋_GB2312" w:eastAsia="仿宋_GB2312"/>
              </w:rPr>
              <w:t>2、检测模式：开孔、闭孔模式（非线性吸收）；</w:t>
            </w:r>
          </w:p>
          <w:p>
            <w:pPr>
              <w:pStyle w:val="null3"/>
            </w:pPr>
            <w:r>
              <w:rPr>
                <w:rFonts w:ascii="仿宋_GB2312" w:hAnsi="仿宋_GB2312" w:cs="仿宋_GB2312" w:eastAsia="仿宋_GB2312"/>
              </w:rPr>
              <w:t>3、两个功率探测器：测试波长：700-1800nm；功率检测范围: 50nW-40mW；</w:t>
            </w:r>
          </w:p>
          <w:p>
            <w:pPr>
              <w:pStyle w:val="null3"/>
            </w:pPr>
            <w:r>
              <w:rPr>
                <w:rFonts w:ascii="仿宋_GB2312" w:hAnsi="仿宋_GB2312" w:cs="仿宋_GB2312" w:eastAsia="仿宋_GB2312"/>
              </w:rPr>
              <w:t>4、参比双通道信号同时采集，避免激光能量波动造成的测量误差；</w:t>
            </w:r>
          </w:p>
          <w:p>
            <w:pPr>
              <w:pStyle w:val="null3"/>
            </w:pPr>
            <w:r>
              <w:rPr>
                <w:rFonts w:ascii="仿宋_GB2312" w:hAnsi="仿宋_GB2312" w:cs="仿宋_GB2312" w:eastAsia="仿宋_GB2312"/>
              </w:rPr>
              <w:t>5、50倍平场消色差长焦距物镜，工作距离≥ 17mm，NA≥0.42，波长范围包括：480-1800nm；</w:t>
            </w:r>
          </w:p>
          <w:p>
            <w:pPr>
              <w:pStyle w:val="null3"/>
            </w:pPr>
            <w:r>
              <w:rPr>
                <w:rFonts w:ascii="仿宋_GB2312" w:hAnsi="仿宋_GB2312" w:cs="仿宋_GB2312" w:eastAsia="仿宋_GB2312"/>
              </w:rPr>
              <w:t>6、测量精度: 非线性吸收系数，≥10e-1；</w:t>
            </w:r>
          </w:p>
          <w:p>
            <w:pPr>
              <w:pStyle w:val="null3"/>
            </w:pPr>
            <w:r>
              <w:rPr>
                <w:rFonts w:ascii="仿宋_GB2312" w:hAnsi="仿宋_GB2312" w:cs="仿宋_GB2312" w:eastAsia="仿宋_GB2312"/>
              </w:rPr>
              <w:t>7、加配可见观测相机，LED光源；</w:t>
            </w:r>
          </w:p>
          <w:p>
            <w:pPr>
              <w:pStyle w:val="null3"/>
            </w:pPr>
            <w:r>
              <w:rPr>
                <w:rFonts w:ascii="仿宋_GB2312" w:hAnsi="仿宋_GB2312" w:cs="仿宋_GB2312" w:eastAsia="仿宋_GB2312"/>
              </w:rPr>
              <w:t>8、包含SHG测试及成像功能，空间分辨率≤1μm，可电动控制激发光的强度和偏振，偏振控制速度≥20度/s；精度：±0.2 度；重复定位精度：±0.1度，预装适配波片。</w:t>
            </w:r>
          </w:p>
          <w:p>
            <w:pPr>
              <w:pStyle w:val="null3"/>
            </w:pPr>
            <w:r>
              <w:rPr>
                <w:rFonts w:ascii="仿宋_GB2312" w:hAnsi="仿宋_GB2312" w:cs="仿宋_GB2312" w:eastAsia="仿宋_GB2312"/>
              </w:rPr>
              <w:t>9、软件系统：包含拟合透过率与Z位置变化曲线图、样品的双光子吸收等非线性吸收系数的拟合和计算功能。包含激发光波长切换功能：数据采集软件可反控激光器OPA系统，实现对OPA系统的波长控制。包含激光光斑分析模块：可显示光斑形貌；对光斑进行横向、纵向高斯拟合；可测得光斑半径，并可据此计算出光斑面积；可测得光斑中心横向、纵向的波动状态。提供瞬态吸收测试软件和数据采集软件。极坐标SHG强度显示，快速扫描SHG成像。</w:t>
            </w:r>
          </w:p>
          <w:p>
            <w:pPr>
              <w:pStyle w:val="null3"/>
            </w:pPr>
            <w:r>
              <w:rPr>
                <w:rFonts w:ascii="仿宋_GB2312" w:hAnsi="仿宋_GB2312" w:cs="仿宋_GB2312" w:eastAsia="仿宋_GB2312"/>
              </w:rPr>
              <w:t>10、配套水冷机。</w:t>
            </w:r>
          </w:p>
          <w:p>
            <w:pPr>
              <w:pStyle w:val="null3"/>
            </w:pPr>
            <w:r>
              <w:rPr>
                <w:rFonts w:ascii="仿宋_GB2312" w:hAnsi="仿宋_GB2312" w:cs="仿宋_GB2312" w:eastAsia="仿宋_GB2312"/>
              </w:rPr>
              <w:t>二、培训要求</w:t>
            </w:r>
          </w:p>
          <w:p>
            <w:pPr>
              <w:pStyle w:val="null3"/>
            </w:pPr>
            <w:r>
              <w:rPr>
                <w:rFonts w:ascii="仿宋_GB2312" w:hAnsi="仿宋_GB2312" w:cs="仿宋_GB2312" w:eastAsia="仿宋_GB2312"/>
              </w:rPr>
              <w:t>到货安装调试完成后，由专业工程师现场提供一次系统的使用培训服务，直至采购人相关人员熟练掌握为止。培训内容：仪器操作规程，培训人员：5人以上，培训时间：不少于一个工作日，考核方式：现场操作考核。</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应达到响应文件中承诺的指标，所有指标验收必须由采购人确认。需至少提供激光器的功率，中心波长，脉宽，转换效率，非线性样品扫描的现场测试，其他无法提供现场测试的指标，需提供出厂报告进行佐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成交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1、3年（质保期内，任何由制造商选材和制造不当引起的质量问题，成交供应商负责维修，不额外收费。质保期自验收签字之日起计算。） 2、成交供应商应在24小时内对用户的服务要求做出响应，一般问题在48小时内解决，重大问题或其它无法立刻解决的问题应在一周内解决或提出明确的解决方案。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2、根据法律规定中标公告只公布主要标的的名称、品牌、规格型号、数量、单价，本项目主要标的为：核心产品。 3.若项目后期涉及组织专家验收，则验收费用由成交供应商承担。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技术方案及实施方案、组织机构、售后服务承诺.docx 承诺书.docx 标的清单 报价表 商务部分偏离表.docx 响应函 技术响应与偏离表.docx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支付约定、质量保修范围和保修期”的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 分项价格表.docx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